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E1E19D" w14:textId="77777777" w:rsidR="007E4248" w:rsidRDefault="006466B0">
      <w:pPr>
        <w:pStyle w:val="Title"/>
      </w:pPr>
      <w:r>
        <w:t>Multi-scale trend analysis of water quality using error propagation of generalized additive models</w:t>
      </w:r>
    </w:p>
    <w:p w14:paraId="3A9938C6" w14:textId="77777777" w:rsidR="007E4248" w:rsidRDefault="006466B0">
      <w:pPr>
        <w:pStyle w:val="Author"/>
      </w:pPr>
      <w:r>
        <w:t>Marcus W. Beck (</w:t>
      </w:r>
      <w:hyperlink r:id="rId7">
        <w:r>
          <w:rPr>
            <w:rStyle w:val="Hyperlink"/>
          </w:rPr>
          <w:t>mbeck@tbep.org</w:t>
        </w:r>
      </w:hyperlink>
      <w:r>
        <w:t>), Perry de Valpine (</w:t>
      </w:r>
      <w:hyperlink r:id="rId8">
        <w:r>
          <w:rPr>
            <w:rStyle w:val="Hyperlink"/>
          </w:rPr>
          <w:t>pdevalpine@berkeley.edu</w:t>
        </w:r>
      </w:hyperlink>
      <w:r>
        <w:t>), Rebecca Murphy (</w:t>
      </w:r>
      <w:hyperlink r:id="rId9">
        <w:r>
          <w:rPr>
            <w:rStyle w:val="Hyperlink"/>
          </w:rPr>
          <w:t>rmurphy@chesapeakebay.net</w:t>
        </w:r>
      </w:hyperlink>
      <w:r>
        <w:t>), Ian Wren (</w:t>
      </w:r>
      <w:hyperlink r:id="rId10">
        <w:r>
          <w:rPr>
            <w:rStyle w:val="Hyperlink"/>
          </w:rPr>
          <w:t>ianw@sfei.org</w:t>
        </w:r>
      </w:hyperlink>
      <w:r>
        <w:t>), Ariella Chelsky (</w:t>
      </w:r>
      <w:hyperlink r:id="rId11">
        <w:r>
          <w:rPr>
            <w:rStyle w:val="Hyperlink"/>
          </w:rPr>
          <w:t>ariellac@sfei.org</w:t>
        </w:r>
      </w:hyperlink>
      <w:r>
        <w:t>), Melissa Foley (</w:t>
      </w:r>
      <w:hyperlink r:id="rId12">
        <w:r>
          <w:rPr>
            <w:rStyle w:val="Hyperlink"/>
          </w:rPr>
          <w:t>melissaf@sfei.org</w:t>
        </w:r>
      </w:hyperlink>
      <w:r>
        <w:t>), David B. Senn (</w:t>
      </w:r>
      <w:hyperlink r:id="rId13">
        <w:r>
          <w:rPr>
            <w:rStyle w:val="Hyperlink"/>
          </w:rPr>
          <w:t>davids@sfei.org</w:t>
        </w:r>
      </w:hyperlink>
      <w:r>
        <w:t>)</w:t>
      </w:r>
    </w:p>
    <w:p w14:paraId="2323DDC5" w14:textId="77777777" w:rsidR="007E4248" w:rsidRDefault="006466B0">
      <w:pPr>
        <w:pStyle w:val="FirstParagraph"/>
      </w:pPr>
      <w:r>
        <w:t>Last manuscript build 2021-07-12 12:32:31</w:t>
      </w:r>
    </w:p>
    <w:p w14:paraId="31FFA03D" w14:textId="77777777" w:rsidR="007E4248" w:rsidRDefault="006466B0">
      <w:pPr>
        <w:pStyle w:val="Heading1"/>
      </w:pPr>
      <w:bookmarkStart w:id="0" w:name="abstract"/>
      <w:r>
        <w:t>Abstract</w:t>
      </w:r>
    </w:p>
    <w:p w14:paraId="36B31D8D" w14:textId="77777777" w:rsidR="007E4248" w:rsidRDefault="006466B0">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understand multi-decadal changes in chlorophyll-a concentrations in the San Francisco Estuary from roughly biweekly monitoring.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 formulations of the original time series. We then extract seasonal averages and their standard errors for an </w:t>
      </w:r>
      <w:r>
        <w:rPr>
          <w:i/>
          <w:iCs/>
        </w:rPr>
        <w:t>a priori</w:t>
      </w:r>
      <w:r>
        <w:t xml:space="preserve"> 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 </w:t>
      </w:r>
      <w:r>
        <w:rPr>
          <w:i/>
          <w:iCs/>
        </w:rPr>
        <w:t>wqtrends</w:t>
      </w:r>
      <w:r>
        <w:t xml:space="preserve"> R package.</w:t>
      </w:r>
    </w:p>
    <w:p w14:paraId="10817873" w14:textId="77777777" w:rsidR="007E4248" w:rsidRDefault="006466B0">
      <w:pPr>
        <w:pStyle w:val="BodyText"/>
      </w:pPr>
      <w:r>
        <w:rPr>
          <w:i/>
          <w:iCs/>
        </w:rPr>
        <w:t>Key words</w:t>
      </w:r>
      <w:r>
        <w:t>: chlorophyll, Generalized Additive Models, meta-analysis, San Francisco Estuary, Trend analysis</w:t>
      </w:r>
    </w:p>
    <w:p w14:paraId="51F69F87" w14:textId="77777777" w:rsidR="007E4248" w:rsidRDefault="006466B0">
      <w:pPr>
        <w:pStyle w:val="Heading1"/>
      </w:pPr>
      <w:bookmarkStart w:id="1" w:name="introduction"/>
      <w:bookmarkEnd w:id="0"/>
      <w:r>
        <w:t>Introduction</w:t>
      </w:r>
    </w:p>
    <w:p w14:paraId="7D52F061" w14:textId="77777777" w:rsidR="007E4248" w:rsidRDefault="006466B0">
      <w:pPr>
        <w:pStyle w:val="FirstParagraph"/>
      </w:pPr>
      <w:r>
        <w:t>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 (</w:t>
      </w:r>
      <w:hyperlink w:anchor="ref-Cumming06">
        <w:r>
          <w:rPr>
            <w:rStyle w:val="Hyperlink"/>
          </w:rPr>
          <w:t>Cumming et al., 2006</w:t>
        </w:r>
      </w:hyperlink>
      <w:r>
        <w:t xml:space="preserve">; </w:t>
      </w:r>
      <w:hyperlink w:anchor="ref-Forbes18">
        <w:r>
          <w:rPr>
            <w:rStyle w:val="Hyperlink"/>
          </w:rPr>
          <w:t>Forbes and Xie, 2018</w:t>
        </w:r>
      </w:hyperlink>
      <w:r>
        <w:t xml:space="preserve">; </w:t>
      </w:r>
      <w:hyperlink w:anchor="ref-Urquhart98">
        <w:r>
          <w:rPr>
            <w:rStyle w:val="Hyperlink"/>
          </w:rPr>
          <w:t>Urquhart et al., 1998</w:t>
        </w:r>
      </w:hyperlink>
      <w:r>
        <w:t xml:space="preserve">). At short temporal scales typically less than a year, environmental systems exhibit variability caused </w:t>
      </w:r>
      <w:r>
        <w:lastRenderedPageBreak/>
        <w:t>by multiple factors (e.g., weather events, management, or seasonal changes). Such fluctuations may not be related to inter-annual trends or may not be well-suited to multi-scale smoothing methods. Many trend analysis methods lack the flexibility to evaluate multiple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14:paraId="71DCC07B" w14:textId="77777777" w:rsidR="007E4248" w:rsidRDefault="006466B0">
      <w:pPr>
        <w:pStyle w:val="BodyText"/>
      </w:pPr>
      <w:r>
        <w:t>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 (</w:t>
      </w:r>
      <w:hyperlink w:anchor="ref-Helsel20">
        <w:r>
          <w:rPr>
            <w:rStyle w:val="Hyperlink"/>
          </w:rPr>
          <w:t>Helsel et al., 2020</w:t>
        </w:r>
      </w:hyperlink>
      <w:r>
        <w:t xml:space="preserve">; </w:t>
      </w:r>
      <w:hyperlink w:anchor="ref-Hirsch82">
        <w:r>
          <w:rPr>
            <w:rStyle w:val="Hyperlink"/>
          </w:rPr>
          <w:t>Hirsch et al., 1982</w:t>
        </w:r>
      </w:hyperlink>
      <w:r>
        <w:t xml:space="preserve">). </w:t>
      </w:r>
      <w:hyperlink w:anchor="ref-Wan17">
        <w:r>
          <w:rPr>
            <w:rStyle w:val="Hyperlink"/>
          </w:rPr>
          <w:t>Wan et al.</w:t>
        </w:r>
      </w:hyperlink>
      <w:r>
        <w:t xml:space="preserve"> (</w:t>
      </w:r>
      <w:hyperlink w:anchor="ref-Wan17">
        <w:r>
          <w:rPr>
            <w:rStyle w:val="Hyperlink"/>
          </w:rPr>
          <w:t>2017</w:t>
        </w:r>
      </w:hyperlink>
      <w:r>
        <w:t>) 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14:paraId="3CD129A4" w14:textId="77777777" w:rsidR="007E4248" w:rsidRDefault="006466B0">
      <w:pPr>
        <w:pStyle w:val="BodyText"/>
      </w:pPr>
      <w:r>
        <w:t>The seasonal trend decomposition using loess (STL) decomposes a time series into additive components of a long-term trend, a seasonal pattern, and residuals (</w:t>
      </w:r>
      <w:hyperlink w:anchor="ref-Cleveland90">
        <w:r>
          <w:rPr>
            <w:rStyle w:val="Hyperlink"/>
          </w:rPr>
          <w:t>Cleveland et al., 1990</w:t>
        </w:r>
      </w:hyperlink>
      <w:r>
        <w:t xml:space="preserve">; </w:t>
      </w:r>
      <w:hyperlink w:anchor="ref-Cloern10">
        <w:r>
          <w:rPr>
            <w:rStyle w:val="Hyperlink"/>
          </w:rPr>
          <w:t>Cloern and Jassby, 2010</w:t>
        </w:r>
      </w:hyperlink>
      <w:r>
        <w:t xml:space="preserve">; </w:t>
      </w:r>
      <w:hyperlink w:anchor="ref-Stow15">
        <w:r>
          <w:rPr>
            <w:rStyle w:val="Hyperlink"/>
          </w:rPr>
          <w:t>Stow et al., 2015</w:t>
        </w:r>
      </w:hyperlink>
      <w:r>
        <w:t xml:space="preserve">). While useful and widely applied, this method also has important limitations. STL decomposition does not incorporate explanatory variables besides time, it is defined more as an algorithm of statistical steps than as a coherent statistical model (e.g., </w:t>
      </w:r>
      <w:hyperlink w:anchor="ref-Wan17">
        <w:r>
          <w:rPr>
            <w:rStyle w:val="Hyperlink"/>
          </w:rPr>
          <w:t>Wan et al., 2017</w:t>
        </w:r>
      </w:hyperlink>
      <w:r>
        <w:t xml:space="preserve">), and it does not usually estimate standard errors to allow hypothesis testing (but see </w:t>
      </w:r>
      <w:hyperlink w:anchor="ref-Hafen10">
        <w:r>
          <w:rPr>
            <w:rStyle w:val="Hyperlink"/>
          </w:rPr>
          <w:t>Hafen, 2010</w:t>
        </w:r>
      </w:hyperlink>
      <w:r>
        <w:t>). STL methods may also over-simplify trends into fixed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 (</w:t>
      </w:r>
      <w:hyperlink w:anchor="ref-Cloern10">
        <w:r>
          <w:rPr>
            <w:rStyle w:val="Hyperlink"/>
          </w:rPr>
          <w:t>Cloern and Jassby, 2010</w:t>
        </w:r>
      </w:hyperlink>
      <w:r>
        <w:t xml:space="preserve">; </w:t>
      </w:r>
      <w:hyperlink w:anchor="ref-Navarro12">
        <w:r>
          <w:rPr>
            <w:rStyle w:val="Hyperlink"/>
          </w:rPr>
          <w:t>Navarro et al., 2012</w:t>
        </w:r>
      </w:hyperlink>
      <w:r>
        <w:t>).</w:t>
      </w:r>
    </w:p>
    <w:p w14:paraId="3F375544" w14:textId="77777777" w:rsidR="007E4248" w:rsidRDefault="006466B0">
      <w:pPr>
        <w:pStyle w:val="BodyText"/>
      </w:pPr>
      <w:r>
        <w:t>The weighted regression on time, discharge, and season (WRTDS) method addresses the problem of inflexibility in STL by using a more general local regression scheme (</w:t>
      </w:r>
      <w:hyperlink w:anchor="ref-Beck18b">
        <w:r>
          <w:rPr>
            <w:rStyle w:val="Hyperlink"/>
          </w:rPr>
          <w:t>Beck et al., 2018</w:t>
        </w:r>
      </w:hyperlink>
      <w:r>
        <w:t xml:space="preserve">; </w:t>
      </w:r>
      <w:hyperlink w:anchor="ref-Beck15">
        <w:r>
          <w:rPr>
            <w:rStyle w:val="Hyperlink"/>
          </w:rPr>
          <w:t>Beck and Hagy, 2015</w:t>
        </w:r>
      </w:hyperlink>
      <w:r>
        <w:t xml:space="preserve">; </w:t>
      </w:r>
      <w:hyperlink w:anchor="ref-Hirsch10">
        <w:r>
          <w:rPr>
            <w:rStyle w:val="Hyperlink"/>
          </w:rPr>
          <w:t>Hirsch et al., 2010</w:t>
        </w:r>
      </w:hyperlink>
      <w:r>
        <w:t>).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 (</w:t>
      </w:r>
      <w:hyperlink w:anchor="ref-Hirsch15">
        <w:r>
          <w:rPr>
            <w:rStyle w:val="Hyperlink"/>
          </w:rPr>
          <w:t>Hirsch et al., 2015</w:t>
        </w:r>
      </w:hyperlink>
      <w:r>
        <w:t>). Although a useful addition to the original method (</w:t>
      </w:r>
      <w:hyperlink w:anchor="ref-Hirsch10">
        <w:r>
          <w:rPr>
            <w:rStyle w:val="Hyperlink"/>
          </w:rPr>
          <w:t>Hirsch et al., 2010</w:t>
        </w:r>
      </w:hyperlink>
      <w:r>
        <w:t>), the approach requires extensive resampling using a previously fitted model. Alternative methods that include standard error estimates simultaneously with model output may be preferred for intensive or more iterative applications.</w:t>
      </w:r>
    </w:p>
    <w:p w14:paraId="48CEDFA1" w14:textId="77777777" w:rsidR="007E4248" w:rsidRDefault="006466B0">
      <w:pPr>
        <w:pStyle w:val="BodyText"/>
      </w:pPr>
      <w:r>
        <w:lastRenderedPageBreak/>
        <w:t>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 (</w:t>
      </w:r>
      <w:hyperlink w:anchor="ref-Haraguchi15">
        <w:r>
          <w:rPr>
            <w:rStyle w:val="Hyperlink"/>
          </w:rPr>
          <w:t>Haraguchi et al., 2015</w:t>
        </w:r>
      </w:hyperlink>
      <w:r>
        <w:t xml:space="preserve">; </w:t>
      </w:r>
      <w:hyperlink w:anchor="ref-He06">
        <w:r>
          <w:rPr>
            <w:rStyle w:val="Hyperlink"/>
          </w:rPr>
          <w:t>He et al., 2006</w:t>
        </w:r>
      </w:hyperlink>
      <w:r>
        <w:t xml:space="preserve">; </w:t>
      </w:r>
      <w:hyperlink w:anchor="ref-Morton08">
        <w:r>
          <w:rPr>
            <w:rStyle w:val="Hyperlink"/>
          </w:rPr>
          <w:t>Morton and Henderson, 2008</w:t>
        </w:r>
      </w:hyperlink>
      <w:r>
        <w:t xml:space="preserve">; </w:t>
      </w:r>
      <w:hyperlink w:anchor="ref-Murphy19">
        <w:r>
          <w:rPr>
            <w:rStyle w:val="Hyperlink"/>
          </w:rPr>
          <w:t>Murphy et al., 2019</w:t>
        </w:r>
      </w:hyperlink>
      <w:r>
        <w:t xml:space="preserve">; </w:t>
      </w:r>
      <w:hyperlink w:anchor="ref-Pearce11">
        <w:r>
          <w:rPr>
            <w:rStyle w:val="Hyperlink"/>
          </w:rPr>
          <w:t>Pearce et al., 2011</w:t>
        </w:r>
      </w:hyperlink>
      <w:r>
        <w:t>). The basis functions 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 (</w:t>
      </w:r>
      <w:hyperlink w:anchor="ref-Beck17">
        <w:r>
          <w:rPr>
            <w:rStyle w:val="Hyperlink"/>
          </w:rPr>
          <w:t>Beck and Murphy, 2017</w:t>
        </w:r>
      </w:hyperlink>
      <w:r>
        <w:t>) and have readily obtainable uncertainty estimates. Further, GAMs have natural frequentist and Bayesian interpretations, are naturally extensible to include random effects (i.e., generalized additive mixed models or GAMMs), and have computationally efficient implementations (</w:t>
      </w:r>
      <w:hyperlink w:anchor="ref-Wood17">
        <w:r>
          <w:rPr>
            <w:rStyle w:val="Hyperlink"/>
          </w:rPr>
          <w:t>Wood, 2017</w:t>
        </w:r>
      </w:hyperlink>
      <w:r>
        <w:t>).</w:t>
      </w:r>
    </w:p>
    <w:p w14:paraId="4365F9BB" w14:textId="77777777" w:rsidR="007E4248" w:rsidRDefault="006466B0">
      <w:pPr>
        <w:pStyle w:val="BodyText"/>
      </w:pPr>
      <w:r>
        <w:t>GAMs have been applied previously to evaluate trends in water quality time series from long-term monitoring programs (</w:t>
      </w:r>
      <w:hyperlink w:anchor="ref-Haraguchi15">
        <w:r>
          <w:rPr>
            <w:rStyle w:val="Hyperlink"/>
          </w:rPr>
          <w:t>Haraguchi et al., 2015</w:t>
        </w:r>
      </w:hyperlink>
      <w:r>
        <w:t xml:space="preserve">; </w:t>
      </w:r>
      <w:hyperlink w:anchor="ref-Murphy19">
        <w:r>
          <w:rPr>
            <w:rStyle w:val="Hyperlink"/>
          </w:rPr>
          <w:t>Murphy et al., 2019</w:t>
        </w:r>
      </w:hyperlink>
      <w:r>
        <w:t xml:space="preserve">). For example, </w:t>
      </w:r>
      <w:hyperlink w:anchor="ref-Murphy19">
        <w:r>
          <w:rPr>
            <w:rStyle w:val="Hyperlink"/>
          </w:rPr>
          <w:t>Murphy et al.</w:t>
        </w:r>
      </w:hyperlink>
      <w:r>
        <w:t xml:space="preserve"> (</w:t>
      </w:r>
      <w:hyperlink w:anchor="ref-Murphy19">
        <w:r>
          <w:rPr>
            <w:rStyle w:val="Hyperlink"/>
          </w:rPr>
          <w:t>2019</w:t>
        </w:r>
      </w:hyperlink>
      <w:r>
        <w:t>) used GAMs to decompose water quality time series from Chesapeake Bay into long-term and seasonal trends (</w:t>
      </w:r>
      <w:hyperlink w:anchor="ref-Murphy19">
        <w:r>
          <w:rPr>
            <w:rStyle w:val="Hyperlink"/>
          </w:rPr>
          <w:t>Murphy et al., 2019</w:t>
        </w:r>
      </w:hyperlink>
      <w:r>
        <w:t>) and test trend hypotheses between two points in time. Other studies of environmental time series with GAMs have addressed the use of transformed response data (</w:t>
      </w:r>
      <w:hyperlink w:anchor="ref-Yang20">
        <w:r>
          <w:rPr>
            <w:rStyle w:val="Hyperlink"/>
          </w:rPr>
          <w:t>Yang and Moyer, 2020</w:t>
        </w:r>
      </w:hyperlink>
      <w:r>
        <w:t>), serial correlation in high resolution data (</w:t>
      </w:r>
      <w:hyperlink w:anchor="ref-Morton08">
        <w:r>
          <w:rPr>
            <w:rStyle w:val="Hyperlink"/>
          </w:rPr>
          <w:t>Morton and Henderson, 2008</w:t>
        </w:r>
      </w:hyperlink>
      <w:r>
        <w:t xml:space="preserve">; </w:t>
      </w:r>
      <w:hyperlink w:anchor="ref-Yang20">
        <w:r>
          <w:rPr>
            <w:rStyle w:val="Hyperlink"/>
          </w:rPr>
          <w:t>Yang and Moyer, 2020</w:t>
        </w:r>
      </w:hyperlink>
      <w:r>
        <w:t>), and quantifying time lags in relationships between response and predictor variables (</w:t>
      </w:r>
      <w:hyperlink w:anchor="ref-Lefcheck17">
        <w:r>
          <w:rPr>
            <w:rStyle w:val="Hyperlink"/>
          </w:rPr>
          <w:t>Lefcheck et al., 2017</w:t>
        </w:r>
      </w:hyperlink>
      <w:r>
        <w:t>). The study herein generalizes the approach to analyzing trends of seasonal spline features, describes the relationships among alternative spline formulations when spline flexibility is allowed to vary (</w:t>
      </w:r>
      <w:hyperlink w:anchor="ref-Wood17">
        <w:r>
          <w:rPr>
            <w:rStyle w:val="Hyperlink"/>
          </w:rPr>
          <w:t>Wood, 2017</w:t>
        </w:r>
      </w:hyperlink>
      <w:r>
        <w:t xml:space="preserve">, </w:t>
      </w:r>
      <w:hyperlink w:anchor="ref-Wood03">
        <w:r>
          <w:rPr>
            <w:rStyle w:val="Hyperlink"/>
          </w:rPr>
          <w:t>2003</w:t>
        </w:r>
      </w:hyperlink>
      <w:r>
        <w:t xml:space="preserve">) rather than being constrained </w:t>
      </w:r>
      <w:r>
        <w:rPr>
          <w:i/>
          <w:iCs/>
        </w:rPr>
        <w:t>a priori</w:t>
      </w:r>
      <w:r>
        <w:t xml:space="preserve"> for different time scales, and prioritizes full incorporation of uncertainty.</w:t>
      </w:r>
    </w:p>
    <w:p w14:paraId="3A2A5765" w14:textId="77777777" w:rsidR="007E4248" w:rsidRDefault="006466B0">
      <w:pPr>
        <w:pStyle w:val="BodyText"/>
      </w:pPr>
      <w:r>
        <w:t>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from GAMs is the ability to obtain an accurate estimate of uncertainty (e.g., a standard error) of seasonal averages, even with irregular sampling and serial correlation, which is common in time series data. This paper develops the use of GAMs with mixed-effects meta-analysis (</w:t>
      </w:r>
      <w:hyperlink w:anchor="ref-Gasparrini12">
        <w:r>
          <w:rPr>
            <w:rStyle w:val="Hyperlink"/>
          </w:rPr>
          <w:t>Gasparrini et al., 2012</w:t>
        </w:r>
      </w:hyperlink>
      <w:r>
        <w:t xml:space="preserve">; </w:t>
      </w:r>
      <w:hyperlink w:anchor="ref-Sera19">
        <w:r>
          <w:rPr>
            <w:rStyle w:val="Hyperlink"/>
          </w:rPr>
          <w:t>Sera et al., 2019</w:t>
        </w:r>
      </w:hyperlink>
      <w:r>
        <w:t>) to address multi-scale trend analysis questions for which seasonal Kendall tests and the more complex STL and WRTDS methods are not well-suited.</w:t>
      </w:r>
    </w:p>
    <w:p w14:paraId="05679D14" w14:textId="77777777" w:rsidR="007E4248" w:rsidRDefault="006466B0">
      <w:pPr>
        <w:pStyle w:val="BodyText"/>
      </w:pPr>
      <w:r>
        <w:t xml:space="preserve">Meta-analysis regression incorporates a known (or estimated) standard error for each response datum. Usually meta-analysis is used when each response summarizes a dataset from a separate study, along with its standard error, and the meta-analysis looks for across-study patterns in effect size (i.e., </w:t>
      </w:r>
      <w:hyperlink w:anchor="ref-Lortie14">
        <w:r>
          <w:rPr>
            <w:rStyle w:val="Hyperlink"/>
          </w:rPr>
          <w:t>Lortie, 2014</w:t>
        </w:r>
      </w:hyperlink>
      <w:r>
        <w:t xml:space="preserve">). Here each response summarizes one year or season of data, with standard error from the GAM, and the meta-analysis looks for patterns across years. Thus, while meta-analysis methods are most commonly associated with combining results from multiple </w:t>
      </w:r>
      <w:r>
        <w:lastRenderedPageBreak/>
        <w:t>studies into a larger analysis, their key modeling step is propagation of uncertainty (</w:t>
      </w:r>
      <w:hyperlink w:anchor="ref-Gasparrini12">
        <w:r>
          <w:rPr>
            <w:rStyle w:val="Hyperlink"/>
          </w:rPr>
          <w:t>Gasparrini et al., 2012</w:t>
        </w:r>
      </w:hyperlink>
      <w:r>
        <w:t xml:space="preserve">; </w:t>
      </w:r>
      <w:hyperlink w:anchor="ref-Sera19">
        <w:r>
          <w:rPr>
            <w:rStyle w:val="Hyperlink"/>
          </w:rPr>
          <w:t>Sera et al., 2019</w:t>
        </w:r>
      </w:hyperlink>
      <w:r>
        <w:t>). To do this, meta-analysis makes use of a known (estimated) standard error for each response datum, which is exactly the same step required here to propagate standard errors from the GAM into a regression of seasonal averages.</w:t>
      </w:r>
    </w:p>
    <w:p w14:paraId="7301C481" w14:textId="77777777" w:rsidR="007E4248" w:rsidRDefault="006466B0">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patterns and use meta-analysis to evaluate trends between years. This approach is new to environmental trend-detection problems and is provided in the </w:t>
      </w:r>
      <w:r>
        <w:rPr>
          <w:i/>
          <w:iCs/>
        </w:rPr>
        <w:t>wqtrends</w:t>
      </w:r>
      <w:r>
        <w:t xml:space="preserve"> R package developed by the authors (</w:t>
      </w:r>
      <w:hyperlink w:anchor="ref-Beck21">
        <w:r>
          <w:rPr>
            <w:rStyle w:val="Hyperlink"/>
          </w:rPr>
          <w:t>Beck et al., 2021</w:t>
        </w:r>
      </w:hyperlink>
      <w:r>
        <w:t xml:space="preserve">, available at </w:t>
      </w:r>
      <w:hyperlink r:id="rId14">
        <w:r>
          <w:rPr>
            <w:rStyle w:val="Hyperlink"/>
          </w:rPr>
          <w:t>https://tbep-tech.github.io/wqtrends</w:t>
        </w:r>
      </w:hyperlink>
      <w:r>
        <w:t xml:space="preserve">, including an online dashboard for viewing results at </w:t>
      </w:r>
      <w:hyperlink r:id="rId15">
        <w:r>
          <w:rPr>
            <w:rStyle w:val="Hyperlink"/>
          </w:rPr>
          <w:t>https://nutrient-data.sfei.org/apps/SFbaytrends/</w:t>
        </w:r>
      </w:hyperlink>
      <w:r>
        <w:t>).</w:t>
      </w:r>
    </w:p>
    <w:p w14:paraId="25DC8A91" w14:textId="77777777" w:rsidR="007E4248" w:rsidRDefault="006466B0">
      <w:pPr>
        <w:pStyle w:val="Heading1"/>
      </w:pPr>
      <w:bookmarkStart w:id="2" w:name="methods"/>
      <w:bookmarkEnd w:id="1"/>
      <w:r>
        <w:t>Methods</w:t>
      </w:r>
    </w:p>
    <w:p w14:paraId="18BCA057" w14:textId="77777777" w:rsidR="007E4248" w:rsidRDefault="006466B0">
      <w:pPr>
        <w:pStyle w:val="Heading2"/>
      </w:pPr>
      <w:bookmarkStart w:id="3" w:name="study-area-and-data-sources"/>
      <w:r>
        <w:t>Study area and data sources</w:t>
      </w:r>
    </w:p>
    <w:p w14:paraId="175FDDE9" w14:textId="77777777" w:rsidR="007E4248" w:rsidRDefault="006466B0">
      <w:pPr>
        <w:pStyle w:val="FirstParagraph"/>
      </w:pPr>
      <w:r>
        <w:t>The San Francisco Estuary (SFE) is the largest estuary on the Pacific Coast of North America. Its watershed covers 200 thousand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 (</w:t>
      </w:r>
      <w:hyperlink w:anchor="ref-Cloern12">
        <w:r>
          <w:rPr>
            <w:rStyle w:val="Hyperlink"/>
          </w:rPr>
          <w:t>Cloern and Jassby, 2012</w:t>
        </w:r>
      </w:hyperlink>
      <w:r>
        <w:t>). An estimated 73.8 metric tons dy</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of inorganic nitrogen are discharged into the Bay, primarily from wastewater (</w:t>
      </w:r>
      <w:hyperlink w:anchor="ref-Novick14">
        <w:r>
          <w:rPr>
            <w:rStyle w:val="Hyperlink"/>
          </w:rPr>
          <w:t>Novick and Senn, 2014</w:t>
        </w:r>
      </w:hyperlink>
      <w:r>
        <w:t>). Agricultural runoff from the upper watershed contributes 30 metric tons dy</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of nitrogen to the SFE via the Delta.</w:t>
      </w:r>
    </w:p>
    <w:p w14:paraId="785F6458" w14:textId="77777777" w:rsidR="007E4248" w:rsidRDefault="006466B0">
      <w:pPr>
        <w:pStyle w:val="BodyText"/>
      </w:pPr>
      <w:r>
        <w:t>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 (</w:t>
      </w:r>
      <w:hyperlink w:anchor="ref-Alpine88">
        <w:r>
          <w:rPr>
            <w:rStyle w:val="Hyperlink"/>
          </w:rPr>
          <w:t>Alpine and Cloern, 1988</w:t>
        </w:r>
      </w:hyperlink>
      <w:r>
        <w:t xml:space="preserve">; </w:t>
      </w:r>
      <w:hyperlink w:anchor="ref-Cole84">
        <w:r>
          <w:rPr>
            <w:rStyle w:val="Hyperlink"/>
          </w:rPr>
          <w:t>Cole and Cloern, 1984</w:t>
        </w:r>
      </w:hyperlink>
      <w:r>
        <w:t xml:space="preserve">; </w:t>
      </w:r>
      <w:hyperlink w:anchor="ref-Jassby08">
        <w:r>
          <w:rPr>
            <w:rStyle w:val="Hyperlink"/>
          </w:rPr>
          <w:t>Jassby, 2008</w:t>
        </w:r>
      </w:hyperlink>
      <w:r>
        <w:t xml:space="preserve">; </w:t>
      </w:r>
      <w:hyperlink w:anchor="ref-Kimmerer14">
        <w:r>
          <w:rPr>
            <w:rStyle w:val="Hyperlink"/>
          </w:rPr>
          <w:t>Kimmerer and Thompson, 2014</w:t>
        </w:r>
      </w:hyperlink>
      <w:r>
        <w:t xml:space="preserve">; </w:t>
      </w:r>
      <w:hyperlink w:anchor="ref-Lehman17">
        <w:r>
          <w:rPr>
            <w:rStyle w:val="Hyperlink"/>
          </w:rPr>
          <w:t>Lehman et al., 2017</w:t>
        </w:r>
      </w:hyperlink>
      <w:r>
        <w:t>).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1) (</w:t>
      </w:r>
      <w:hyperlink w:anchor="ref-Cloern20">
        <w:r>
          <w:rPr>
            <w:rStyle w:val="Hyperlink"/>
          </w:rPr>
          <w:t>Cloern et al., 2020</w:t>
        </w:r>
      </w:hyperlink>
      <w:r>
        <w:t>). Although changes in the data are visually apparent, statistical analyses to quantify these changes have been insufficient with respect to seasonal differences between years.</w:t>
      </w:r>
    </w:p>
    <w:p w14:paraId="7E9981D8" w14:textId="77777777" w:rsidR="007E4248" w:rsidRDefault="006466B0">
      <w:pPr>
        <w:pStyle w:val="BodyText"/>
      </w:pPr>
      <w:r>
        <w:lastRenderedPageBreak/>
        <w:t>We used near-surface chlorophyll (chl-a) data measured biweekly to monthly from 1990 to 2019 along the longitudinal axis of the SFE extending from Central Bay (stations 18-23), South Bay (stations 24-32), and Lower South Bay (stations 34-36) (Table 1, Figure 2). Monitoring data were obtained from the SFE Research Program of the US Geological Survey (</w:t>
      </w:r>
      <w:hyperlink w:anchor="ref-Cloern16">
        <w:r>
          <w:rPr>
            <w:rStyle w:val="Hyperlink"/>
          </w:rPr>
          <w:t>Cloern and Schraga, 2016</w:t>
        </w:r>
      </w:hyperlink>
      <w:r>
        <w:t xml:space="preserve">; </w:t>
      </w:r>
      <w:hyperlink w:anchor="ref-Schraga20">
        <w:r>
          <w:rPr>
            <w:rStyle w:val="Hyperlink"/>
          </w:rPr>
          <w:t>Schraga et al., 2020</w:t>
        </w:r>
      </w:hyperlink>
      <w:r>
        <w:t>). Sampling frequency varied somewhat over time and by station. Approximate monthly or biweekly sampling with coverage of at least a decade is common for many long-term monitoring programs and is the motivating use case for the methods herein. Every observation was included directly in the statistical models without spatial or temporal binning or averaging.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-transformed chl-a was used for all analyses to meet assumptions of normally-distributed residuals. Methods for back-transformation of model results are provided in the supplement.</w:t>
      </w:r>
    </w:p>
    <w:p w14:paraId="0F5DD7D8" w14:textId="77777777" w:rsidR="007E4248" w:rsidRDefault="006466B0">
      <w:pPr>
        <w:pStyle w:val="Heading2"/>
      </w:pPr>
      <w:bookmarkStart w:id="4" w:name="gams-with-uncertainty-propagation"/>
      <w:bookmarkEnd w:id="3"/>
      <w:r>
        <w:t>GAMs with uncertainty propagation</w:t>
      </w:r>
    </w:p>
    <w:p w14:paraId="1E2E4320" w14:textId="77777777" w:rsidR="007E4248" w:rsidRDefault="006466B0">
      <w:pPr>
        <w:pStyle w:val="FirstParagraph"/>
      </w:pPr>
      <w:r>
        <w:t>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w:t>
      </w:r>
    </w:p>
    <w:p w14:paraId="6FD1EB4E" w14:textId="77777777" w:rsidR="007E4248" w:rsidRDefault="006466B0">
      <w:pPr>
        <w:pStyle w:val="Heading3"/>
      </w:pPr>
      <w:bookmarkStart w:id="5" w:name="first-stage-analysis-gam-estimation"/>
      <w:r>
        <w:t>First-stage analysis: GAM estimation</w:t>
      </w:r>
    </w:p>
    <w:p w14:paraId="633CF084" w14:textId="77777777" w:rsidR="007E4248" w:rsidRDefault="006466B0">
      <w:pPr>
        <w:pStyle w:val="FirstParagraph"/>
      </w:pPr>
      <w:r>
        <w:t xml:space="preserve">We considered four different GAMs to smooth the raw data across time. Although they can achieve similar fits, they do so by partitioning variation in the time series differently (Table 2). We discuss all four to clarify their relationships and interpretations. All models were created using the </w:t>
      </w:r>
      <w:r>
        <w:rPr>
          <w:rStyle w:val="VerbatimChar"/>
        </w:rPr>
        <w:t>mgcv</w:t>
      </w:r>
      <w:r>
        <w:t xml:space="preserve"> R package (</w:t>
      </w:r>
      <w:hyperlink w:anchor="ref-RCT20">
        <w:r>
          <w:rPr>
            <w:rStyle w:val="Hyperlink"/>
          </w:rPr>
          <w:t>R Core Team, 2020</w:t>
        </w:r>
      </w:hyperlink>
      <w:r>
        <w:t xml:space="preserve">; </w:t>
      </w:r>
      <w:hyperlink w:anchor="ref-Wood17">
        <w:r>
          <w:rPr>
            <w:rStyle w:val="Hyperlink"/>
          </w:rPr>
          <w:t>Wood, 2017</w:t>
        </w:r>
      </w:hyperlink>
      <w:r>
        <w:t xml:space="preserve">), with utility functions included in the </w:t>
      </w:r>
      <w:r>
        <w:rPr>
          <w:rStyle w:val="VerbatimChar"/>
        </w:rPr>
        <w:t>wqtrends</w:t>
      </w:r>
      <w:r>
        <w:t xml:space="preserve"> package created by the authors (</w:t>
      </w:r>
      <w:hyperlink w:anchor="ref-Beck21">
        <w:r>
          <w:rPr>
            <w:rStyle w:val="Hyperlink"/>
          </w:rPr>
          <w:t>Beck et al., 2021</w:t>
        </w:r>
      </w:hyperlink>
      <w:r>
        <w:t>).</w:t>
      </w:r>
    </w:p>
    <w:p w14:paraId="33E3E86C" w14:textId="77777777" w:rsidR="007E4248" w:rsidRDefault="006466B0">
      <w:pPr>
        <w:pStyle w:val="BodyText"/>
      </w:pPr>
      <w:r>
        <w:t>The simplest GAM for this purpose is expressed as:</w:t>
      </w:r>
    </w:p>
    <w:p w14:paraId="4958435C" w14:textId="77777777" w:rsidR="007E4248" w:rsidRDefault="006466B0">
      <w:pPr>
        <w:pStyle w:val="BodyText"/>
      </w:pPr>
      <m:oMathPara>
        <m:oMathParaPr>
          <m:jc m:val="center"/>
        </m:oMathParaPr>
        <m:oMath>
          <m:r>
            <m:rPr>
              <m:nor/>
            </m:rPr>
            <m:t>Model S:</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1B8317E3" w14:textId="77777777" w:rsidR="007E4248" w:rsidRDefault="006466B0">
      <w:pPr>
        <w:pStyle w:val="FirstParagraph"/>
      </w:pPr>
      <w:r>
        <w:t xml:space="preserve">where </w:t>
      </w:r>
      <m:oMath>
        <m:r>
          <w:rPr>
            <w:rFonts w:ascii="Cambria Math" w:hAnsi="Cambria Math"/>
          </w:rPr>
          <m:t>y</m:t>
        </m:r>
      </m:oMath>
      <w:r>
        <w:t xml:space="preserve"> is measured chl-a,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an intercept, and </w:t>
      </w:r>
      <m:oMath>
        <m:r>
          <w:rPr>
            <w:rFonts w:ascii="Cambria Math" w:hAnsi="Cambria Math"/>
          </w:rPr>
          <m:t>cont</m:t>
        </m:r>
        <m:r>
          <m:rPr>
            <m:sty m:val="p"/>
          </m:rPr>
          <w:rPr>
            <w:rFonts w:ascii="Cambria Math" w:hAnsi="Cambria Math"/>
          </w:rPr>
          <m:t>_</m:t>
        </m:r>
        <m:r>
          <w:rPr>
            <w:rFonts w:ascii="Cambria Math" w:hAnsi="Cambria Math"/>
          </w:rPr>
          <m:t>year</m:t>
        </m:r>
      </m:oMath>
      <w:r>
        <w:t xml:space="preserve"> is “continuous year,” a continuous numerical date (e.g., July 1st 2019 would be 2019.5). The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t xml:space="preserve"> function is a smoothing spline composed of the sum of multiple “basis functions” multiplied by coefficients. </w:t>
      </w:r>
      <m:oMath>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year</m:t>
            </m:r>
          </m:e>
        </m:d>
      </m:oMath>
      <w:r>
        <w:t xml:space="preserve"> describes the relationship of </w:t>
      </w:r>
      <m:oMath>
        <m:r>
          <w:rPr>
            <w:rFonts w:ascii="Cambria Math" w:hAnsi="Cambria Math"/>
          </w:rPr>
          <m:t>cont</m:t>
        </m:r>
        <m:r>
          <m:rPr>
            <m:sty m:val="p"/>
          </m:rPr>
          <w:rPr>
            <w:rFonts w:ascii="Cambria Math" w:hAnsi="Cambria Math"/>
          </w:rPr>
          <m:t>_</m:t>
        </m:r>
        <m:r>
          <w:rPr>
            <w:rFonts w:ascii="Cambria Math" w:hAnsi="Cambria Math"/>
          </w:rPr>
          <m:t>year</m:t>
        </m:r>
      </m:oMath>
      <w:r>
        <w:t xml:space="preserve"> with </w:t>
      </w:r>
      <m:oMath>
        <m:r>
          <w:rPr>
            <w:rFonts w:ascii="Cambria Math" w:hAnsi="Cambria Math"/>
          </w:rPr>
          <m:t>y</m:t>
        </m:r>
      </m:oMath>
      <w:r>
        <w:t xml:space="preserve"> in a way that smoothly follows the data (</w:t>
      </w:r>
      <w:hyperlink w:anchor="ref-Wood17">
        <w:r>
          <w:rPr>
            <w:rStyle w:val="Hyperlink"/>
          </w:rPr>
          <w:t>Wood, 2017</w:t>
        </w:r>
      </w:hyperlink>
      <w:r>
        <w:t xml:space="preserve">). The basis functions involve user-specified knots, a grid of values on the </w:t>
      </w:r>
      <m:oMath>
        <m:r>
          <w:rPr>
            <w:rFonts w:ascii="Cambria Math" w:hAnsi="Cambria Math"/>
          </w:rPr>
          <m:t>cont</m:t>
        </m:r>
        <m:r>
          <m:rPr>
            <m:sty m:val="p"/>
          </m:rPr>
          <w:rPr>
            <w:rFonts w:ascii="Cambria Math" w:hAnsi="Cambria Math"/>
          </w:rPr>
          <m:t>_</m:t>
        </m:r>
        <m:r>
          <w:rPr>
            <w:rFonts w:ascii="Cambria Math" w:hAnsi="Cambria Math"/>
          </w:rPr>
          <m:t>year</m:t>
        </m:r>
      </m:oMath>
      <w:r>
        <w:t xml:space="preserve"> axis that is discussed more below. The </w:t>
      </w:r>
      <m:oMath>
        <m:r>
          <w:rPr>
            <w:rFonts w:ascii="Cambria Math" w:hAnsi="Cambria Math"/>
          </w:rPr>
          <m:t>ϵ</m:t>
        </m:r>
      </m:oMath>
      <w:r>
        <w:t xml:space="preserve"> term is for residuals following a normal distribution with mean zero and constant variance.</w:t>
      </w:r>
    </w:p>
    <w:p w14:paraId="1FD07A10" w14:textId="77777777" w:rsidR="007E4248" w:rsidRDefault="006466B0">
      <w:pPr>
        <w:pStyle w:val="BodyText"/>
      </w:pPr>
      <w:r>
        <w:t xml:space="preserve">Smoothing was determined using generalized cross-validation (GCV, as implemented in </w:t>
      </w:r>
      <w:r>
        <w:rPr>
          <w:rStyle w:val="VerbatimChar"/>
        </w:rPr>
        <w:t>mgcv</w:t>
      </w:r>
      <w:r>
        <w:t>), which approximately minimizes out-of-sample prediction error. GCV works by penalizing the net curvature of a spline (</w:t>
      </w:r>
      <w:hyperlink w:anchor="ref-Wood04">
        <w:r>
          <w:rPr>
            <w:rStyle w:val="Hyperlink"/>
          </w:rPr>
          <w:t>Wood, 2004</w:t>
        </w:r>
      </w:hyperlink>
      <w:r>
        <w:t xml:space="preserve">). To allow GCV (or other alternatives) to work as intended, the number of knots, which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t xml:space="preserve"> as 12 times the number of years in the time series, i.e., one knot per month. If the data were too sparse to fit 12 knots per year, the number of knots was reduced by one knot per year until the model could be estimated (i.e., 12 * years, 11 * years, etc.).</w:t>
      </w:r>
    </w:p>
    <w:p w14:paraId="0D6E8B76" w14:textId="77777777" w:rsidR="007E4248" w:rsidRDefault="006466B0">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 </w:t>
      </w:r>
      <m:oMath>
        <m:r>
          <w:rPr>
            <w:rFonts w:ascii="Cambria Math" w:hAnsi="Cambria Math"/>
          </w:rPr>
          <m:t>cont</m:t>
        </m:r>
        <m:r>
          <m:rPr>
            <m:sty m:val="p"/>
          </m:rPr>
          <w:rPr>
            <w:rFonts w:ascii="Cambria Math" w:hAnsi="Cambria Math"/>
          </w:rPr>
          <m:t>_</m:t>
        </m:r>
        <m:r>
          <w:rPr>
            <w:rFonts w:ascii="Cambria Math" w:hAnsi="Cambria Math"/>
          </w:rPr>
          <m:t>year</m:t>
        </m:r>
      </m:oMath>
      <w:r>
        <w:t>:</w:t>
      </w:r>
    </w:p>
    <w:p w14:paraId="64E8F4F9" w14:textId="77777777" w:rsidR="007E4248" w:rsidRDefault="006466B0">
      <w:pPr>
        <w:pStyle w:val="BodyText"/>
      </w:pPr>
      <m:oMathPara>
        <m:oMathParaPr>
          <m:jc m:val="center"/>
        </m:oMathParaPr>
        <m:oMath>
          <m:r>
            <m:rPr>
              <m:nor/>
            </m:rPr>
            <m:t>Model SY:</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2</m:t>
          </m:r>
          <m:r>
            <m:rPr>
              <m:sty m:val="p"/>
            </m:rPr>
            <w:rPr>
              <w:rFonts w:ascii="Cambria Math" w:hAnsi="Cambria Math"/>
            </w:rPr>
            <m:t>)</m:t>
          </m:r>
        </m:oMath>
      </m:oMathPara>
    </w:p>
    <w:p w14:paraId="68EA7FB9" w14:textId="77777777" w:rsidR="007E4248" w:rsidRDefault="006466B0">
      <w:pPr>
        <w:pStyle w:val="FirstParagraph"/>
      </w:pPr>
      <w:r>
        <w:t xml:space="preserve">where equation (2) is the same as equation (1) with the addition of a linear term for </w:t>
      </w:r>
      <m:oMath>
        <m:r>
          <w:rPr>
            <w:rFonts w:ascii="Cambria Math" w:hAnsi="Cambria Math"/>
          </w:rPr>
          <m:t>cont</m:t>
        </m:r>
        <m:r>
          <m:rPr>
            <m:sty m:val="p"/>
          </m:rPr>
          <w:rPr>
            <w:rFonts w:ascii="Cambria Math" w:hAnsi="Cambria Math"/>
          </w:rPr>
          <m:t>_</m:t>
        </m:r>
        <m:r>
          <w:rPr>
            <w:rFonts w:ascii="Cambria Math" w:hAnsi="Cambria Math"/>
          </w:rPr>
          <m:t>year</m:t>
        </m:r>
      </m:oMath>
      <w:r>
        <w:t xml:space="preserve"> related to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by the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slope parameter.</w:t>
      </w:r>
    </w:p>
    <w:p w14:paraId="4D5F645D" w14:textId="77777777" w:rsidR="007E4248" w:rsidRDefault="006466B0">
      <w:pPr>
        <w:pStyle w:val="BodyText"/>
      </w:pPr>
      <w:r>
        <w:t xml:space="preserve">This model is mathematically equivalent to model S (Table 3). The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t xml:space="preserve"> spline for </w:t>
      </w:r>
      <w:r>
        <w:rPr>
          <w:rStyle w:val="VerbatimChar"/>
        </w:rPr>
        <w:t>cont_year</w:t>
      </w:r>
      <w:r>
        <w:t xml:space="preserve"> includes an unpenalized linear trend, so a trend will be estimated in model S. When </w:t>
      </w:r>
      <w:r>
        <w:rPr>
          <w:rStyle w:val="VerbatimChar"/>
        </w:rPr>
        <w:t>cont_year</w:t>
      </w:r>
      <w:r>
        <w:t xml:space="preserve"> is included explicitly as a linear term in model SY, </w:t>
      </w:r>
      <w:r>
        <w:rPr>
          <w:rStyle w:val="VerbatimChar"/>
        </w:rPr>
        <w:t>mgcv</w:t>
      </w:r>
      <w:r>
        <w:t xml:space="preserve"> adjusts the basis functions for the spline to exclude the linear term, thereby not over-parameterizing the model. Whereas an estimated linear trend in </w:t>
      </w:r>
      <w:r>
        <w:rPr>
          <w:rStyle w:val="VerbatimChar"/>
        </w:rPr>
        <w:t>cont_year</w:t>
      </w:r>
      <w:r>
        <w:t xml:space="preserve"> and its uncertainty can be extracted from the fitted spline in model S, model SY provides this trend directly, giving the equivalent result. Further, package </w:t>
      </w:r>
      <w:r>
        <w:rPr>
          <w:rStyle w:val="VerbatimChar"/>
        </w:rPr>
        <w:t>mgcv</w:t>
      </w:r>
      <w:r>
        <w:t xml:space="preserve"> can penalize linear trends in splines to provide a method for variable selection (option </w:t>
      </w:r>
      <w:r>
        <w:rPr>
          <w:rStyle w:val="VerbatimChar"/>
        </w:rPr>
        <w:t>select = TRUE</w:t>
      </w:r>
      <w:r>
        <w:t xml:space="preserve">), such as when numerous splines are included in the model formulation for variables that may or may not be important. For our approach, this option is not used and all models specify </w:t>
      </w:r>
      <w:r>
        <w:rPr>
          <w:rStyle w:val="VerbatimChar"/>
        </w:rPr>
        <w:t>select = FALSE</w:t>
      </w:r>
      <w:r>
        <w:t>. Details in the supplement explain this justification.</w:t>
      </w:r>
    </w:p>
    <w:p w14:paraId="0A1E6500" w14:textId="77777777" w:rsidR="007E4248" w:rsidRDefault="006466B0">
      <w:pPr>
        <w:pStyle w:val="BodyText"/>
      </w:pPr>
      <w:r>
        <w:t>Model SYD adds an average within-year cyclic pattern as a separate spline:</w:t>
      </w:r>
    </w:p>
    <w:p w14:paraId="4B1578EE" w14:textId="77777777" w:rsidR="007E4248" w:rsidRDefault="006466B0">
      <w:pPr>
        <w:pStyle w:val="BodyText"/>
      </w:pPr>
      <m:oMathPara>
        <m:oMathParaPr>
          <m:jc m:val="center"/>
        </m:oMathParaPr>
        <m:oMath>
          <m:r>
            <m:rPr>
              <m:nor/>
            </m:rPr>
            <m:t>Model SYD:</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d>
            <m:dPr>
              <m:endChr m:val=""/>
              <m:ctrlPr>
                <w:rPr>
                  <w:rFonts w:ascii="Cambria Math" w:hAnsi="Cambria Math"/>
                </w:rPr>
              </m:ctrlPr>
            </m:dPr>
            <m:e>
              <m:r>
                <w:rPr>
                  <w:rFonts w:ascii="Cambria Math" w:hAnsi="Cambria Math"/>
                </w:rPr>
                <m:t>do</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3</m:t>
              </m:r>
              <m:r>
                <m:rPr>
                  <m:sty m:val="p"/>
                </m:rPr>
                <w:rPr>
                  <w:rFonts w:ascii="Cambria Math" w:hAnsi="Cambria Math"/>
                </w:rPr>
                <m:t>)</m:t>
              </m:r>
            </m:e>
          </m:d>
        </m:oMath>
      </m:oMathPara>
    </w:p>
    <w:p w14:paraId="758515F1" w14:textId="77777777" w:rsidR="007E4248" w:rsidRDefault="006466B0">
      <w:pPr>
        <w:pStyle w:val="FirstParagraph"/>
      </w:pPr>
      <w:r>
        <w:t>where equation (3) is the same as equation (2) with the addition of a smoothing spline for “day-of-year” (</w:t>
      </w:r>
      <m:oMath>
        <m:r>
          <w:rPr>
            <w:rFonts w:ascii="Cambria Math" w:hAnsi="Cambria Math"/>
          </w:rPr>
          <m:t>doy</m:t>
        </m:r>
      </m:oMath>
      <w:r>
        <w:t xml:space="preserve">, i.e., Julian date, a count starting January 1 for each year). The </w:t>
      </w:r>
      <m:oMath>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oMath>
      <w:r>
        <w:t xml:space="preserve"> spline is cyclic (using </w:t>
      </w:r>
      <w:r>
        <w:rPr>
          <w:rStyle w:val="VerbatimChar"/>
        </w:rPr>
        <w:t>bs = 'cc'</w:t>
      </w:r>
      <w:r>
        <w:t xml:space="preserve"> in </w:t>
      </w:r>
      <w:r>
        <w:rPr>
          <w:rStyle w:val="VerbatimChar"/>
        </w:rPr>
        <w:t>mgcv</w:t>
      </w:r>
      <w:r>
        <w:t xml:space="preserve">) to constrain the start and end at the same value. A user-specified number of knots is also included in </w:t>
      </w:r>
      <m:oMath>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oMath>
      <w:r>
        <w:t xml:space="preserve">. While model SYD is not mathematically equivalent to models S and SY, it should produce nearly identical results. The </w:t>
      </w:r>
      <w:r>
        <w:rPr>
          <w:rStyle w:val="VerbatimChar"/>
        </w:rPr>
        <w:t>doy</w:t>
      </w:r>
      <w:r>
        <w:t xml:space="preserve"> spline in model SYD gives the average within-year pattern and changes the interpretation of the </w:t>
      </w:r>
      <w:r>
        <w:rPr>
          <w:rStyle w:val="VerbatimChar"/>
        </w:rPr>
        <w:t>cont_year</w:t>
      </w:r>
      <w:r>
        <w:t xml:space="preserve"> spline to represent smoothed deviations from that pattern.</w:t>
      </w:r>
    </w:p>
    <w:p w14:paraId="1A884850" w14:textId="77777777" w:rsidR="007E4248" w:rsidRDefault="006466B0">
      <w:pPr>
        <w:pStyle w:val="BodyText"/>
      </w:pPr>
      <w:r>
        <w:t xml:space="preserve">Models S, SY, and SYD can all potentially extract a similar signal from the raw data (Table 3). What differs between the models is the allocation of penalties for curvature used to determine smoothness for each spline. In model SYD, there are separate penalties for the two splines, as compared to S and SY that include penalties only for the </w:t>
      </w:r>
      <w:r>
        <w:rPr>
          <w:rStyle w:val="VerbatimChar"/>
        </w:rPr>
        <w:t>cont_year</w:t>
      </w:r>
      <w:r>
        <w:t xml:space="preserve"> 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14:paraId="794AE1FA" w14:textId="77777777" w:rsidR="007E4248" w:rsidRDefault="006466B0">
      <w:pPr>
        <w:pStyle w:val="BodyText"/>
      </w:pPr>
      <w:r>
        <w:t>If the fits were to differ substantially between model SYD and models S or SY, an interpretation could be difficult because the penalties for smoothing splines based on curvature are heuristic (</w:t>
      </w:r>
      <w:hyperlink w:anchor="ref-Wood17">
        <w:r>
          <w:rPr>
            <w:rStyle w:val="Hyperlink"/>
          </w:rPr>
          <w:t>Wood, 2017</w:t>
        </w:r>
      </w:hyperlink>
      <w:r>
        <w:t xml:space="preserve">). For example, if a lower AIC is achieved in one model compared to another, assuming both use sufficient knots, this may just reflect the outcome of alternative penalization </w:t>
      </w:r>
      <w:r>
        <w:lastRenderedPageBreak/>
        <w:t>heuristics implied by the different formulations and does not imply one model fit is better. In the examples here, model SYD achieves nearly identical fits to model S or SY, where the latter by definition also achieve identical fits.</w:t>
      </w:r>
    </w:p>
    <w:p w14:paraId="48CC2782" w14:textId="77777777" w:rsidR="007E4248" w:rsidRDefault="006466B0">
      <w:pPr>
        <w:pStyle w:val="BodyText"/>
      </w:pPr>
      <w:r>
        <w:t xml:space="preserve">Model SYD has the appealing feature that, if some parts of some years have limited data, model SYD will impute an average seasonal pattern with the </w:t>
      </w:r>
      <w:r>
        <w:rPr>
          <w:rStyle w:val="VerbatimChar"/>
        </w:rPr>
        <w:t>doy</w:t>
      </w:r>
      <w:r>
        <w:t xml:space="preserve"> 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14:paraId="5B149173" w14:textId="77777777" w:rsidR="007E4248" w:rsidRDefault="006466B0">
      <w:pPr>
        <w:pStyle w:val="BodyText"/>
      </w:pPr>
      <w:r>
        <w:t xml:space="preserve">Finally, the raw data can be smoothed using a bivariate spline representing an interaction between </w:t>
      </w:r>
      <w:r>
        <w:rPr>
          <w:rStyle w:val="VerbatimChar"/>
        </w:rPr>
        <w:t>cont_year</w:t>
      </w:r>
      <w:r>
        <w:t xml:space="preserve"> and </w:t>
      </w:r>
      <w:r>
        <w:rPr>
          <w:rStyle w:val="VerbatimChar"/>
        </w:rPr>
        <w:t>doy</w:t>
      </w:r>
      <w:r>
        <w:t>. This can be expressed as:</w:t>
      </w:r>
    </w:p>
    <w:p w14:paraId="3F1CBFD8" w14:textId="77777777" w:rsidR="007E4248" w:rsidRDefault="006466B0">
      <w:pPr>
        <w:pStyle w:val="BodyText"/>
      </w:pPr>
      <m:oMathPara>
        <m:oMathParaPr>
          <m:jc m:val="center"/>
        </m:oMathParaPr>
        <m:oMath>
          <m:r>
            <m:rPr>
              <m:nor/>
            </m:rPr>
            <m:t>Model SYDI:</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d>
            <m:dPr>
              <m:endChr m:val=""/>
              <m:ctrlPr>
                <w:rPr>
                  <w:rFonts w:ascii="Cambria Math" w:hAnsi="Cambria Math"/>
                </w:rPr>
              </m:ctrlPr>
            </m:dPr>
            <m:e>
              <m:r>
                <w:rPr>
                  <w:rFonts w:ascii="Cambria Math" w:hAnsi="Cambria Math"/>
                </w:rPr>
                <m:t>do</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d>
                <m:dPr>
                  <m:ctrlPr>
                    <w:rPr>
                      <w:rFonts w:ascii="Cambria Math" w:hAnsi="Cambria Math"/>
                    </w:rPr>
                  </m:ctrlPr>
                </m:dPr>
                <m:e>
                  <m:r>
                    <w:rPr>
                      <w:rFonts w:ascii="Cambria Math" w:hAnsi="Cambria Math"/>
                    </w:rPr>
                    <m:t>cont</m:t>
                  </m:r>
                  <m:r>
                    <m:rPr>
                      <m:sty m:val="p"/>
                    </m:rPr>
                    <w:rPr>
                      <w:rFonts w:ascii="Cambria Math" w:hAnsi="Cambria Math"/>
                    </w:rPr>
                    <m:t>_</m:t>
                  </m:r>
                  <m:r>
                    <w:rPr>
                      <w:rFonts w:ascii="Cambria Math" w:hAnsi="Cambria Math"/>
                    </w:rPr>
                    <m:t>yea</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do</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4</m:t>
              </m:r>
              <m:r>
                <m:rPr>
                  <m:sty m:val="p"/>
                </m:rPr>
                <w:rPr>
                  <w:rFonts w:ascii="Cambria Math" w:hAnsi="Cambria Math"/>
                </w:rPr>
                <m:t>)</m:t>
              </m:r>
            </m:e>
          </m:d>
        </m:oMath>
      </m:oMathPara>
    </w:p>
    <w:p w14:paraId="0901C04C" w14:textId="77777777" w:rsidR="007E4248" w:rsidRDefault="006466B0">
      <w:pPr>
        <w:pStyle w:val="FirstParagraph"/>
      </w:pPr>
      <w:r>
        <w:t>where equation (4) is the same as equation (3) with the addition of a tensor-product smoothing spline (</w:t>
      </w:r>
      <w:r>
        <w:rPr>
          <w:rStyle w:val="VerbatimChar"/>
        </w:rPr>
        <w:t>ti()</w:t>
      </w:r>
      <w:r>
        <w:t xml:space="preserve"> in </w:t>
      </w:r>
      <w:r>
        <w:rPr>
          <w:rStyle w:val="VerbatimChar"/>
        </w:rPr>
        <w:t>mgcv</w:t>
      </w:r>
      <w:r>
        <w:t xml:space="preserve">) that varies smoothly as a function of both </w:t>
      </w:r>
      <m:oMath>
        <m:r>
          <w:rPr>
            <w:rFonts w:ascii="Cambria Math" w:hAnsi="Cambria Math"/>
          </w:rPr>
          <m:t>cont</m:t>
        </m:r>
        <m:r>
          <m:rPr>
            <m:sty m:val="p"/>
          </m:rPr>
          <w:rPr>
            <w:rFonts w:ascii="Cambria Math" w:hAnsi="Cambria Math"/>
          </w:rPr>
          <m:t>_</m:t>
        </m:r>
        <m:r>
          <w:rPr>
            <w:rFonts w:ascii="Cambria Math" w:hAnsi="Cambria Math"/>
          </w:rPr>
          <m:t>year</m:t>
        </m:r>
      </m:oMath>
      <w:r>
        <w:t xml:space="preserve"> and </w:t>
      </w:r>
      <m:oMath>
        <m:r>
          <w:rPr>
            <w:rFonts w:ascii="Cambria Math" w:hAnsi="Cambria Math"/>
          </w:rPr>
          <m:t>doy</m:t>
        </m:r>
      </m:oMath>
      <w:r>
        <w:t xml:space="preserve">. Both </w:t>
      </w:r>
      <m:oMath>
        <m:r>
          <w:rPr>
            <w:rFonts w:ascii="Cambria Math" w:hAnsi="Cambria Math"/>
          </w:rPr>
          <m:t>cont</m:t>
        </m:r>
        <m:r>
          <m:rPr>
            <m:sty m:val="p"/>
          </m:rPr>
          <w:rPr>
            <w:rFonts w:ascii="Cambria Math" w:hAnsi="Cambria Math"/>
          </w:rPr>
          <m:t>_</m:t>
        </m:r>
        <m:r>
          <w:rPr>
            <w:rFonts w:ascii="Cambria Math" w:hAnsi="Cambria Math"/>
          </w:rPr>
          <m:t>year</m:t>
        </m:r>
      </m:oMath>
      <w:r>
        <w:t xml:space="preserve"> and </w:t>
      </w:r>
      <m:oMath>
        <m:r>
          <w:rPr>
            <w:rFonts w:ascii="Cambria Math" w:hAnsi="Cambria Math"/>
          </w:rPr>
          <m:t>doy</m:t>
        </m:r>
      </m:oMath>
      <w:r>
        <w:t xml:space="preserve"> include their own number of knots, such that the total number of knots for the spline is the product of the two. The need for sufficient knots in SYDI can be satisfied either by sufficiently many knots for </w:t>
      </w:r>
      <m:oMath>
        <m:sSub>
          <m:sSubPr>
            <m:ctrlPr>
              <w:rPr>
                <w:rFonts w:ascii="Cambria Math" w:hAnsi="Cambria Math"/>
              </w:rPr>
            </m:ctrlPr>
          </m:sSubPr>
          <m:e>
            <m:r>
              <w:rPr>
                <w:rFonts w:ascii="Cambria Math" w:hAnsi="Cambria Math"/>
              </w:rPr>
              <m:t>f</m:t>
            </m:r>
          </m:e>
          <m:sub>
            <m:r>
              <w:rPr>
                <w:rFonts w:ascii="Cambria Math" w:hAnsi="Cambria Math"/>
              </w:rPr>
              <m:t>3</m:t>
            </m:r>
          </m:sub>
        </m:sSub>
        <m:r>
          <m:rPr>
            <m:sty m:val="p"/>
          </m:rPr>
          <w:rPr>
            <w:rFonts w:ascii="Cambria Math" w:hAnsi="Cambria Math"/>
          </w:rPr>
          <m:t>()</m:t>
        </m:r>
      </m:oMath>
      <w:r>
        <w:t xml:space="preserve"> or sufficiently many knots for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t xml:space="preserve"> or </w:t>
      </w:r>
      <m:oMath>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oMath>
      <w:r>
        <w:t>, but not both given limits on the model degrees of freedom.</w:t>
      </w:r>
    </w:p>
    <w:p w14:paraId="18B505A6" w14:textId="77777777" w:rsidR="007E4248" w:rsidRDefault="006466B0">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 </w:t>
      </w:r>
      <w:r>
        <w:rPr>
          <w:rStyle w:val="VerbatimChar"/>
        </w:rPr>
        <w:t>cont_year</w:t>
      </w:r>
      <w:r>
        <w:t xml:space="preserve"> and </w:t>
      </w:r>
      <w:r>
        <w:rPr>
          <w:rStyle w:val="VerbatimChar"/>
        </w:rPr>
        <w:t>doy</w:t>
      </w:r>
      <w:r>
        <w:t xml:space="preserve"> will likely not capture as much variation in model SYDI compared to model S given the fewer knots that are available to the former. The tensor-product spline represents an interaction by allowing the pattern in </w:t>
      </w:r>
      <m:oMath>
        <m:r>
          <w:rPr>
            <w:rFonts w:ascii="Cambria Math" w:hAnsi="Cambria Math"/>
          </w:rPr>
          <m:t>cont</m:t>
        </m:r>
        <m:r>
          <m:rPr>
            <m:sty m:val="p"/>
          </m:rPr>
          <w:rPr>
            <w:rFonts w:ascii="Cambria Math" w:hAnsi="Cambria Math"/>
          </w:rPr>
          <m:t>_</m:t>
        </m:r>
        <m:r>
          <w:rPr>
            <w:rFonts w:ascii="Cambria Math" w:hAnsi="Cambria Math"/>
          </w:rPr>
          <m:t>year</m:t>
        </m:r>
      </m:oMath>
      <w:r>
        <w:t xml:space="preserve"> to vary by </w:t>
      </w:r>
      <m:oMath>
        <m:r>
          <w:rPr>
            <w:rFonts w:ascii="Cambria Math" w:hAnsi="Cambria Math"/>
          </w:rPr>
          <m:t>doy</m:t>
        </m:r>
      </m:oMath>
      <w:r>
        <w:t xml:space="preserve"> and vice-versa. The interaction term provides an appearance that model SYDI is fundamentally different from those provided by the other models. However, models S, SY, and SYD also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 </w:t>
      </w:r>
      <m:oMath>
        <m:r>
          <w:rPr>
            <w:rFonts w:ascii="Cambria Math" w:hAnsi="Cambria Math"/>
          </w:rPr>
          <m:t>cont</m:t>
        </m:r>
        <m:r>
          <m:rPr>
            <m:sty m:val="p"/>
          </m:rPr>
          <w:rPr>
            <w:rFonts w:ascii="Cambria Math" w:hAnsi="Cambria Math"/>
          </w:rPr>
          <m:t>_</m:t>
        </m:r>
        <m:r>
          <w:rPr>
            <w:rFonts w:ascii="Cambria Math" w:hAnsi="Cambria Math"/>
          </w:rPr>
          <m:t>year</m:t>
        </m:r>
      </m:oMath>
      <w:r>
        <w:t xml:space="preserve"> spline </w:t>
      </w:r>
      <w:r>
        <w:rPr>
          <w:i/>
          <w:iCs/>
        </w:rPr>
        <w:t>and</w:t>
      </w:r>
      <w:r>
        <w:t xml:space="preserve"> 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14:paraId="73A668D3" w14:textId="77777777" w:rsidR="007E4248" w:rsidRDefault="00B25696">
      <w:pPr>
        <w:pStyle w:val="BodyText"/>
      </w:pPr>
      <w:hyperlink w:anchor="ref-Murphy19">
        <w:r w:rsidR="006466B0">
          <w:rPr>
            <w:rStyle w:val="Hyperlink"/>
          </w:rPr>
          <w:t>Murphy et al.</w:t>
        </w:r>
      </w:hyperlink>
      <w:r w:rsidR="006466B0">
        <w:t xml:space="preserve"> (</w:t>
      </w:r>
      <w:hyperlink w:anchor="ref-Murphy19">
        <w:r w:rsidR="006466B0">
          <w:rPr>
            <w:rStyle w:val="Hyperlink"/>
          </w:rPr>
          <w:t>2019</w:t>
        </w:r>
      </w:hyperlink>
      <w:r w:rsidR="006466B0">
        <w:t xml:space="preserve">) used spline formulations for Chesapeake Bay water quality related to those proposed here, but for different goals and with different handling of smoothness. They evaluated </w:t>
      </w:r>
      <w:r w:rsidR="006466B0">
        <w:lastRenderedPageBreak/>
        <w:t>a “</w:t>
      </w:r>
      <w:r w:rsidR="006466B0">
        <w:rPr>
          <w:rStyle w:val="VerbatimChar"/>
        </w:rPr>
        <w:t>gam0</w:t>
      </w:r>
      <w:r w:rsidR="006466B0">
        <w:t xml:space="preserve">” with only a cyclic spline for </w:t>
      </w:r>
      <w:r w:rsidR="006466B0">
        <w:rPr>
          <w:rStyle w:val="VerbatimChar"/>
        </w:rPr>
        <w:t>doy</w:t>
      </w:r>
      <w:r w:rsidR="006466B0">
        <w:t xml:space="preserve"> and linear </w:t>
      </w:r>
      <w:r w:rsidR="006466B0">
        <w:rPr>
          <w:rStyle w:val="VerbatimChar"/>
        </w:rPr>
        <w:t>cont_year</w:t>
      </w:r>
      <w:r w:rsidR="006466B0">
        <w:t xml:space="preserve"> terms, a “</w:t>
      </w:r>
      <w:r w:rsidR="006466B0">
        <w:rPr>
          <w:rStyle w:val="VerbatimChar"/>
        </w:rPr>
        <w:t>gam1</w:t>
      </w:r>
      <w:r w:rsidR="006466B0">
        <w:t>” like our SYD, and a “</w:t>
      </w:r>
      <w:r w:rsidR="006466B0">
        <w:rPr>
          <w:rStyle w:val="VerbatimChar"/>
        </w:rPr>
        <w:t>gam2</w:t>
      </w:r>
      <w:r w:rsidR="006466B0">
        <w:t>” like our SYDI. In application, only “</w:t>
      </w:r>
      <w:r w:rsidR="006466B0">
        <w:rPr>
          <w:rStyle w:val="VerbatimChar"/>
        </w:rPr>
        <w:t>gam2</w:t>
      </w:r>
      <w:r w:rsidR="006466B0">
        <w:t xml:space="preserve">” was used, including the addition of splines as functions of hydrologic variables to account for finer-scale variation. Murphy et al. allowed a maximum number of knots for the </w:t>
      </w:r>
      <w:r w:rsidR="006466B0">
        <w:rPr>
          <w:rStyle w:val="VerbatimChar"/>
        </w:rPr>
        <w:t>cont_year</w:t>
      </w:r>
      <w:r w:rsidR="006466B0">
        <w:t xml:space="preserve"> spline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rsidR="006466B0">
        <w:t xml:space="preserve">) of 2/3 times the number of years and do not explicitly consider the number of knots in the interaction spline, following an </w:t>
      </w:r>
      <w:r w:rsidR="006466B0">
        <w:rPr>
          <w:i/>
          <w:iCs/>
        </w:rPr>
        <w:t>ad hoc</w:t>
      </w:r>
      <w:r w:rsidR="006466B0">
        <w:t xml:space="preserve"> 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rsidR="006466B0">
        <w:t xml:space="preserve"> term. Finally, </w:t>
      </w:r>
      <w:hyperlink w:anchor="ref-Murphy19">
        <w:r w:rsidR="006466B0">
          <w:rPr>
            <w:rStyle w:val="Hyperlink"/>
          </w:rPr>
          <w:t>Murphy et al.</w:t>
        </w:r>
      </w:hyperlink>
      <w:r w:rsidR="006466B0">
        <w:t xml:space="preserve"> (</w:t>
      </w:r>
      <w:hyperlink w:anchor="ref-Murphy19">
        <w:r w:rsidR="006466B0">
          <w:rPr>
            <w:rStyle w:val="Hyperlink"/>
          </w:rPr>
          <w:t>2019</w:t>
        </w:r>
      </w:hyperlink>
      <w:r w:rsidR="006466B0">
        <w:t>) present large AIC differences between their spline formulations. We instead emphasize that, given sufficient knots, the models represent alternative formulations of conceptually similar explanations for the data and yield similar fits (Table 3), resulting in near ties for AIC between models.</w:t>
      </w:r>
    </w:p>
    <w:p w14:paraId="75296C14" w14:textId="77777777" w:rsidR="007E4248" w:rsidRDefault="006466B0">
      <w:pPr>
        <w:pStyle w:val="BodyText"/>
      </w:pPr>
      <w:r>
        <w:t>We visually compare chl-a estimates from models SY, SYD, and SYDI to emphasize that similar fits can be achieved by all of the presented models (Figure 3, SY is identical to S and is not shown). Models S, SYD, and SYDI were fit to chl-a data from station 34 using a sufficiently high number of knots for the respective splines for each model. Predictions by day of year from each model are visually similar (Figure 3a) and closely follow the 1:1 line (Figure 3b). However, the component of predictions explained by the continuous year smoother (</w:t>
      </w:r>
      <m:oMath>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d>
      </m:oMath>
      <w:r>
        <w:t>) differs between models that include additional smoothers to absorb some patterns in the data. These results are also reflected in differences in the effective degrees of freedom among the additive components of each model (Table 3). Accordingly, even though the models differ by which structural component describes variation in the chl-a time series, they provide similar predictions.</w:t>
      </w:r>
    </w:p>
    <w:p w14:paraId="26BF5541" w14:textId="77777777" w:rsidR="007E4248" w:rsidRDefault="006466B0">
      <w:pPr>
        <w:pStyle w:val="BodyText"/>
      </w:pPr>
      <w:r>
        <w:t xml:space="preserve">For all results, model S was used with enough knots in </w:t>
      </w:r>
      <m:oMath>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oMath>
      <w:r>
        <w:t xml:space="preserve"> to evaluate chl-a trends across the monitoring stations in the SFE. This model was chosen because of the relatively faster processing time to fit the model, while providing nearly identical explanatory power as compared to the other models (Table 3).</w:t>
      </w:r>
    </w:p>
    <w:p w14:paraId="0E31CE9F" w14:textId="77777777" w:rsidR="007E4248" w:rsidRDefault="006466B0">
      <w:pPr>
        <w:pStyle w:val="Heading3"/>
      </w:pPr>
      <w:bookmarkStart w:id="6" w:name="X79341b4d8d7ec317f2877c2fc7a73487dbf3a2a"/>
      <w:bookmarkEnd w:id="5"/>
      <w:r>
        <w:t>Second-stage analysis: Seasonal features with uncertainties</w:t>
      </w:r>
    </w:p>
    <w:p w14:paraId="27D06302" w14:textId="77777777" w:rsidR="007E4248" w:rsidRDefault="006466B0">
      <w:pPr>
        <w:pStyle w:val="FirstParagraph"/>
      </w:pPr>
      <w:r>
        <w:t xml:space="preserve">In the second-stage analysis, we estimated a seasonal average, such as the mean spring chl-a concentrations, with the associated uncertainty in each year. We defined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as the seasonal average in year </w:t>
      </w:r>
      <m:oMath>
        <m:r>
          <w:rPr>
            <w:rFonts w:ascii="Cambria Math" w:hAnsi="Cambria Math"/>
          </w:rPr>
          <m:t>t</m:t>
        </m:r>
      </m:oMath>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xml:space="preserve"> as an estimate of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r>
              <m:rPr>
                <m:sty m:val="p"/>
              </m:rPr>
              <w:rPr>
                <w:rFonts w:ascii="Cambria Math" w:hAnsi="Cambria Math"/>
              </w:rPr>
              <m:t>,</m:t>
            </m:r>
            <m:r>
              <w:rPr>
                <w:rFonts w:ascii="Cambria Math" w:hAnsi="Cambria Math"/>
              </w:rPr>
              <m:t>t</m:t>
            </m:r>
          </m:sub>
        </m:sSub>
      </m:oMath>
      <w:r>
        <w:t xml:space="preserve"> as the estimated standard error of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xml:space="preserve">. The season includes </w:t>
      </w:r>
      <m:oMath>
        <m:r>
          <w:rPr>
            <w:rFonts w:ascii="Cambria Math" w:hAnsi="Cambria Math"/>
          </w:rPr>
          <m:t>n</m:t>
        </m:r>
      </m:oMath>
      <w:r>
        <w:t xml:space="preserve"> days. For simplicity, the following text omits subscript </w:t>
      </w:r>
      <m:oMath>
        <m:r>
          <w:rPr>
            <w:rFonts w:ascii="Cambria Math" w:hAnsi="Cambria Math"/>
          </w:rPr>
          <m:t>t</m:t>
        </m:r>
      </m:oMath>
      <w:r>
        <w:t>.</w:t>
      </w:r>
    </w:p>
    <w:p w14:paraId="320533D6" w14:textId="77777777" w:rsidR="007E4248" w:rsidRDefault="006466B0">
      <w:pPr>
        <w:pStyle w:val="BodyText"/>
      </w:pPr>
      <w:r>
        <w:t xml:space="preserve">Point estimates of response values for the fitted GAM take the form </w:t>
      </w:r>
      <m:oMath>
        <m:acc>
          <m:accPr>
            <m:ctrlPr>
              <w:rPr>
                <w:rFonts w:ascii="Cambria Math" w:hAnsi="Cambria Math"/>
              </w:rPr>
            </m:ctrlPr>
          </m:accPr>
          <m:e>
            <m:r>
              <m:rPr>
                <m:sty m:val="b"/>
              </m:rPr>
              <w:rPr>
                <w:rFonts w:ascii="Cambria Math" w:hAnsi="Cambria Math"/>
              </w:rPr>
              <m:t>y</m:t>
            </m:r>
          </m:e>
        </m:acc>
        <m:r>
          <m:rPr>
            <m:sty m:val="p"/>
          </m:rPr>
          <w:rPr>
            <w:rFonts w:ascii="Cambria Math" w:hAnsi="Cambria Math"/>
          </w:rPr>
          <m:t>=</m:t>
        </m:r>
        <m:r>
          <m:rPr>
            <m:sty m:val="b"/>
          </m:rPr>
          <w:rPr>
            <w:rFonts w:ascii="Cambria Math" w:hAnsi="Cambria Math"/>
          </w:rPr>
          <m:t>X</m:t>
        </m:r>
        <m:acc>
          <m:accPr>
            <m:ctrlPr>
              <w:rPr>
                <w:rFonts w:ascii="Cambria Math" w:hAnsi="Cambria Math"/>
              </w:rPr>
            </m:ctrlPr>
          </m:accPr>
          <m:e>
            <m:r>
              <m:rPr>
                <m:sty m:val="b"/>
              </m:rPr>
              <w:rPr>
                <w:rFonts w:ascii="Cambria Math" w:hAnsi="Cambria Math"/>
              </w:rPr>
              <m:t>β</m:t>
            </m:r>
          </m:e>
        </m:acc>
      </m:oMath>
      <w:r>
        <w:t xml:space="preserve">, where </w:t>
      </w:r>
      <m:oMath>
        <m:acc>
          <m:accPr>
            <m:ctrlPr>
              <w:rPr>
                <w:rFonts w:ascii="Cambria Math" w:hAnsi="Cambria Math"/>
              </w:rPr>
            </m:ctrlPr>
          </m:accPr>
          <m:e>
            <m:r>
              <m:rPr>
                <m:sty m:val="b"/>
              </m:rPr>
              <w:rPr>
                <w:rFonts w:ascii="Cambria Math" w:hAnsi="Cambria Math"/>
              </w:rPr>
              <m:t>β</m:t>
            </m:r>
          </m:e>
        </m:acc>
      </m:oMath>
      <w:r>
        <w:t xml:space="preserve"> is the vector of parameter estimates and </w:t>
      </w:r>
      <m:oMath>
        <m:r>
          <m:rPr>
            <m:sty m:val="b"/>
          </m:rPr>
          <w:rPr>
            <w:rFonts w:ascii="Cambria Math" w:hAnsi="Cambria Math"/>
          </w:rPr>
          <m:t>X</m:t>
        </m:r>
      </m:oMath>
      <w:r>
        <w:t xml:space="preserve"> is a model matrix of explanatory variables, including spline basis function values. Vector </w:t>
      </w:r>
      <m:oMath>
        <m:acc>
          <m:accPr>
            <m:ctrlPr>
              <w:rPr>
                <w:rFonts w:ascii="Cambria Math" w:hAnsi="Cambria Math"/>
              </w:rPr>
            </m:ctrlPr>
          </m:accPr>
          <m:e>
            <m:r>
              <m:rPr>
                <m:sty m:val="b"/>
              </m:rPr>
              <w:rPr>
                <w:rFonts w:ascii="Cambria Math" w:hAnsi="Cambria Math"/>
              </w:rPr>
              <m:t>β</m:t>
            </m:r>
          </m:e>
        </m:acc>
      </m:oMath>
      <w:r>
        <w:t xml:space="preserve"> includes both fixed effect parameters and spline parameters, and </w:t>
      </w:r>
      <m:oMath>
        <m:r>
          <m:rPr>
            <m:sty m:val="b"/>
          </m:rPr>
          <w:rPr>
            <w:rFonts w:ascii="Cambria Math" w:hAnsi="Cambria Math"/>
          </w:rPr>
          <m:t>X</m:t>
        </m:r>
      </m:oMath>
      <w:r>
        <w:t xml:space="preserve"> contains columns corresponding to each. For example, using model SY, if a point estimate for chl-a is needed for a single day, given as </w:t>
      </w:r>
      <w:r>
        <w:rPr>
          <w:rStyle w:val="VerbatimChar"/>
        </w:rPr>
        <w:t>cont_year</w:t>
      </w:r>
      <w:r>
        <w:t xml:space="preserve"> = </w:t>
      </w:r>
      <m:oMath>
        <m:r>
          <w:rPr>
            <w:rFonts w:ascii="Cambria Math" w:hAnsi="Cambria Math"/>
          </w:rPr>
          <m:t>r</m:t>
        </m:r>
      </m:oMath>
      <w:r>
        <w:t xml:space="preserve">, then </w:t>
      </w:r>
      <m:oMath>
        <m:r>
          <m:rPr>
            <m:sty m:val="b"/>
          </m:rPr>
          <w:rPr>
            <w:rFonts w:ascii="Cambria Math" w:hAnsi="Cambria Math"/>
          </w:rPr>
          <m:t>X</m:t>
        </m:r>
      </m:oMath>
      <w:r>
        <w:t xml:space="preserve"> would have a row with </w:t>
      </w:r>
      <m:oMath>
        <m:r>
          <w:rPr>
            <w:rFonts w:ascii="Cambria Math" w:hAnsi="Cambria Math"/>
          </w:rPr>
          <m:t>1</m:t>
        </m:r>
      </m:oMath>
      <w:r>
        <w:t xml:space="preserve"> in the first column (for the intercept parameter), </w:t>
      </w:r>
      <m:oMath>
        <m:r>
          <w:rPr>
            <w:rFonts w:ascii="Cambria Math" w:hAnsi="Cambria Math"/>
          </w:rPr>
          <m:t>r</m:t>
        </m:r>
      </m:oMath>
      <w:r>
        <w:t xml:space="preserve"> (for the linear time trend) in the second column, and an evaluation of each spline basis function at </w:t>
      </w:r>
      <m:oMath>
        <m:r>
          <w:rPr>
            <w:rFonts w:ascii="Cambria Math" w:hAnsi="Cambria Math"/>
          </w:rPr>
          <m:t>r</m:t>
        </m:r>
      </m:oMath>
      <w:r>
        <w:t xml:space="preserve"> in the remaining columns. The number of spline basis functions is related to the number of knots. Note that </w:t>
      </w:r>
      <m:oMath>
        <m:r>
          <w:rPr>
            <w:rFonts w:ascii="Cambria Math" w:hAnsi="Cambria Math"/>
          </w:rPr>
          <m:t>r</m:t>
        </m:r>
      </m:oMath>
      <w:r>
        <w:t xml:space="preserve"> can be any time, not necessarily the time of an observation.</w:t>
      </w:r>
    </w:p>
    <w:p w14:paraId="089074E5" w14:textId="77777777" w:rsidR="007E4248" w:rsidRDefault="006466B0">
      <w:pPr>
        <w:pStyle w:val="BodyText"/>
      </w:pPr>
      <w:r>
        <w:lastRenderedPageBreak/>
        <w:t xml:space="preserve">To obtain a vector, </w:t>
      </w:r>
      <m:oMath>
        <m:acc>
          <m:accPr>
            <m:ctrlPr>
              <w:rPr>
                <w:rFonts w:ascii="Cambria Math" w:hAnsi="Cambria Math"/>
              </w:rPr>
            </m:ctrlPr>
          </m:accPr>
          <m:e>
            <m:r>
              <m:rPr>
                <m:sty m:val="b"/>
              </m:rPr>
              <w:rPr>
                <w:rFonts w:ascii="Cambria Math" w:hAnsi="Cambria Math"/>
              </w:rPr>
              <m:t>y</m:t>
            </m:r>
          </m:e>
        </m:acc>
      </m:oMath>
      <w:r>
        <w:t xml:space="preserve">, of fitted point estimates for every day in a season, </w:t>
      </w:r>
      <m:oMath>
        <m:r>
          <m:rPr>
            <m:sty m:val="b"/>
          </m:rPr>
          <w:rPr>
            <w:rFonts w:ascii="Cambria Math" w:hAnsi="Cambria Math"/>
          </w:rPr>
          <m:t>X</m:t>
        </m:r>
      </m:oMath>
      <w:r>
        <w:t xml:space="preserve"> would have one row for each day. Here, the seasonal averages were calculated at the resolution of days. The estimated spline yields both </w:t>
      </w:r>
      <m:oMath>
        <m:acc>
          <m:accPr>
            <m:ctrlPr>
              <w:rPr>
                <w:rFonts w:ascii="Cambria Math" w:hAnsi="Cambria Math"/>
              </w:rPr>
            </m:ctrlPr>
          </m:accPr>
          <m:e>
            <m:r>
              <m:rPr>
                <m:sty m:val="b"/>
              </m:rPr>
              <w:rPr>
                <w:rFonts w:ascii="Cambria Math" w:hAnsi="Cambria Math"/>
              </w:rPr>
              <m:t>β</m:t>
            </m:r>
          </m:e>
        </m:acc>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Sub>
      </m:oMath>
      <w:r>
        <w:t xml:space="preserve">, an estimate of the covariance matrix of the sampling distribution of </w:t>
      </w:r>
      <m:oMath>
        <m:acc>
          <m:accPr>
            <m:ctrlPr>
              <w:rPr>
                <w:rFonts w:ascii="Cambria Math" w:hAnsi="Cambria Math"/>
              </w:rPr>
            </m:ctrlPr>
          </m:accPr>
          <m:e>
            <m:r>
              <m:rPr>
                <m:sty m:val="b"/>
              </m:rPr>
              <w:rPr>
                <w:rFonts w:ascii="Cambria Math" w:hAnsi="Cambria Math"/>
              </w:rPr>
              <m:t>β</m:t>
            </m:r>
          </m:e>
        </m:acc>
      </m:oMath>
      <w:r>
        <w:t xml:space="preserve">. The scalar standard errors of </w:t>
      </w:r>
      <m:oMath>
        <m:acc>
          <m:accPr>
            <m:ctrlPr>
              <w:rPr>
                <w:rFonts w:ascii="Cambria Math" w:hAnsi="Cambria Math"/>
              </w:rPr>
            </m:ctrlPr>
          </m:accPr>
          <m:e>
            <m:r>
              <m:rPr>
                <m:sty m:val="b"/>
              </m:rPr>
              <w:rPr>
                <w:rFonts w:ascii="Cambria Math" w:hAnsi="Cambria Math"/>
              </w:rPr>
              <m:t>β</m:t>
            </m:r>
          </m:e>
        </m:acc>
      </m:oMath>
      <w:r>
        <w:t xml:space="preserve"> are the square roots of the diagonal elements of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Sub>
      </m:oMath>
      <w:r>
        <w:t xml:space="preserve">, whereas the off-diagonal elements are the correlations among the elements of </w:t>
      </w:r>
      <m:oMath>
        <m:acc>
          <m:accPr>
            <m:ctrlPr>
              <w:rPr>
                <w:rFonts w:ascii="Cambria Math" w:hAnsi="Cambria Math"/>
              </w:rPr>
            </m:ctrlPr>
          </m:accPr>
          <m:e>
            <m:r>
              <m:rPr>
                <m:sty m:val="b"/>
              </m:rPr>
              <w:rPr>
                <w:rFonts w:ascii="Cambria Math" w:hAnsi="Cambria Math"/>
              </w:rPr>
              <m:t>β</m:t>
            </m:r>
          </m:e>
        </m:acc>
      </m:oMath>
      <w:r>
        <w:t xml:space="preserve">. Since parameter estimates are correlated, the covariance of </w:t>
      </w:r>
      <m:oMath>
        <m:acc>
          <m:accPr>
            <m:ctrlPr>
              <w:rPr>
                <w:rFonts w:ascii="Cambria Math" w:hAnsi="Cambria Math"/>
              </w:rPr>
            </m:ctrlPr>
          </m:accPr>
          <m:e>
            <m:r>
              <m:rPr>
                <m:sty m:val="b"/>
              </m:rPr>
              <w:rPr>
                <w:rFonts w:ascii="Cambria Math" w:hAnsi="Cambria Math"/>
              </w:rPr>
              <m:t>y</m:t>
            </m:r>
          </m:e>
        </m:acc>
      </m:oMath>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m:rPr>
                    <m:sty m:val="b"/>
                  </m:rPr>
                  <w:rPr>
                    <w:rFonts w:ascii="Cambria Math" w:hAnsi="Cambria Math"/>
                  </w:rPr>
                  <m:t>y</m:t>
                </m:r>
              </m:e>
            </m:acc>
          </m:sub>
        </m:sSub>
        <m:r>
          <m:rPr>
            <m:sty m:val="p"/>
          </m:rPr>
          <w:rPr>
            <w:rFonts w:ascii="Cambria Math" w:hAnsi="Cambria Math"/>
          </w:rPr>
          <m:t>=</m:t>
        </m:r>
        <m:r>
          <m:rPr>
            <m:sty m:val="b"/>
          </m:rPr>
          <w:rPr>
            <w:rFonts w:ascii="Cambria Math" w:hAnsi="Cambria Math"/>
          </w:rPr>
          <m:t>X</m:t>
        </m:r>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β</m:t>
                </m:r>
              </m:e>
            </m:acc>
          </m:sub>
        </m:sSub>
        <m:sSup>
          <m:sSupPr>
            <m:ctrlPr>
              <w:rPr>
                <w:rFonts w:ascii="Cambria Math" w:hAnsi="Cambria Math"/>
              </w:rPr>
            </m:ctrlPr>
          </m:sSupPr>
          <m:e>
            <m:r>
              <m:rPr>
                <m:sty m:val="b"/>
              </m:rPr>
              <w:rPr>
                <w:rFonts w:ascii="Cambria Math" w:hAnsi="Cambria Math"/>
              </w:rPr>
              <m:t>X</m:t>
            </m:r>
          </m:e>
          <m:sup>
            <m:r>
              <w:rPr>
                <w:rFonts w:ascii="Cambria Math" w:hAnsi="Cambria Math"/>
              </w:rPr>
              <m:t>T</m:t>
            </m:r>
          </m:sup>
        </m:sSup>
      </m:oMath>
      <w:r>
        <w:t>.</w:t>
      </w:r>
    </w:p>
    <w:p w14:paraId="4733CBF0" w14:textId="77777777" w:rsidR="007E4248" w:rsidRDefault="006466B0">
      <w:pPr>
        <w:pStyle w:val="BodyText"/>
      </w:pPr>
      <w:r>
        <w:t xml:space="preserve">The estimated seasonal average was calculated from the vector of daily values for each of the </w:t>
      </w:r>
      <m:oMath>
        <m:r>
          <w:rPr>
            <w:rFonts w:ascii="Cambria Math" w:hAnsi="Cambria Math"/>
          </w:rPr>
          <m:t>n</m:t>
        </m:r>
      </m:oMath>
      <w:r>
        <w:t xml:space="preserve"> days in the season of interest with </w:t>
      </w:r>
      <m:oMath>
        <m:acc>
          <m:accPr>
            <m:ctrlPr>
              <w:rPr>
                <w:rFonts w:ascii="Cambria Math" w:hAnsi="Cambria Math"/>
              </w:rPr>
            </m:ctrlPr>
          </m:accPr>
          <m:e>
            <m:r>
              <w:rPr>
                <w:rFonts w:ascii="Cambria Math" w:hAnsi="Cambria Math"/>
              </w:rPr>
              <m:t>μ</m:t>
            </m:r>
          </m:e>
        </m:acc>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acc>
          <m:accPr>
            <m:ctrlPr>
              <w:rPr>
                <w:rFonts w:ascii="Cambria Math" w:hAnsi="Cambria Math"/>
              </w:rPr>
            </m:ctrlPr>
          </m:accPr>
          <m:e>
            <m:r>
              <m:rPr>
                <m:sty m:val="b"/>
              </m:rPr>
              <w:rPr>
                <w:rFonts w:ascii="Cambria Math" w:hAnsi="Cambria Math"/>
              </w:rPr>
              <m:t>y</m:t>
            </m:r>
          </m:e>
        </m:acc>
      </m:oMath>
      <w:r>
        <w:t xml:space="preserve">, where </w:t>
      </w:r>
      <m:oMath>
        <m:sSup>
          <m:sSupPr>
            <m:ctrlPr>
              <w:rPr>
                <w:rFonts w:ascii="Cambria Math" w:hAnsi="Cambria Math"/>
              </w:rPr>
            </m:ctrlPr>
          </m:sSupPr>
          <m:e>
            <m:r>
              <w:rPr>
                <w:rFonts w:ascii="Cambria Math" w:hAnsi="Cambria Math"/>
              </w:rPr>
              <m:t>A</m:t>
            </m:r>
          </m:e>
          <m:sup>
            <m:r>
              <w:rPr>
                <w:rFonts w:ascii="Cambria Math" w:hAnsi="Cambria Math"/>
              </w:rPr>
              <m:t>T</m:t>
            </m:r>
          </m:sup>
        </m:sSup>
      </m:oMath>
      <w:r>
        <w:t xml:space="preserve"> is a row vector with all values equal to </w:t>
      </w:r>
      <m:oMath>
        <m:r>
          <w:rPr>
            <w:rFonts w:ascii="Cambria Math" w:hAnsi="Cambria Math"/>
          </w:rPr>
          <m:t>1</m:t>
        </m:r>
        <m:r>
          <m:rPr>
            <m:sty m:val="p"/>
          </m:rPr>
          <w:rPr>
            <w:rFonts w:ascii="Cambria Math" w:hAnsi="Cambria Math"/>
          </w:rPr>
          <m:t>/</m:t>
        </m:r>
        <m:r>
          <w:rPr>
            <w:rFonts w:ascii="Cambria Math" w:hAnsi="Cambria Math"/>
          </w:rPr>
          <m:t>n</m:t>
        </m:r>
      </m:oMath>
      <w:r>
        <w:t xml:space="preserve">. The variance of </w:t>
      </w:r>
      <m:oMath>
        <m:acc>
          <m:accPr>
            <m:ctrlPr>
              <w:rPr>
                <w:rFonts w:ascii="Cambria Math" w:hAnsi="Cambria Math"/>
              </w:rPr>
            </m:ctrlPr>
          </m:accPr>
          <m:e>
            <m:r>
              <w:rPr>
                <w:rFonts w:ascii="Cambria Math" w:hAnsi="Cambria Math"/>
              </w:rPr>
              <m:t>μ</m:t>
            </m:r>
          </m:e>
        </m:acc>
      </m:oMath>
      <w:r>
        <w:t xml:space="preserve"> is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m:rPr>
                    <m:sty m:val="b"/>
                  </m:rPr>
                  <w:rPr>
                    <w:rFonts w:ascii="Cambria Math" w:hAnsi="Cambria Math"/>
                  </w:rPr>
                  <m:t>y</m:t>
                </m:r>
              </m:e>
            </m:acc>
          </m:sub>
        </m:sSub>
        <m:r>
          <w:rPr>
            <w:rFonts w:ascii="Cambria Math" w:hAnsi="Cambria Math"/>
          </w:rPr>
          <m:t>A</m:t>
        </m:r>
      </m:oMath>
      <w:r>
        <w:t xml:space="preserve">, and its standard error is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sub>
        </m:sSub>
      </m:oMath>
      <w:r>
        <w:t xml:space="preserve">. Each of these estimates are from the approximate multivariate normality of the sampling distribution of </w:t>
      </w:r>
      <m:oMath>
        <m:acc>
          <m:accPr>
            <m:ctrlPr>
              <w:rPr>
                <w:rFonts w:ascii="Cambria Math" w:hAnsi="Cambria Math"/>
              </w:rPr>
            </m:ctrlPr>
          </m:accPr>
          <m:e>
            <m:r>
              <m:rPr>
                <m:sty m:val="b"/>
              </m:rPr>
              <w:rPr>
                <w:rFonts w:ascii="Cambria Math" w:hAnsi="Cambria Math"/>
              </w:rPr>
              <m:t>β</m:t>
            </m:r>
          </m:e>
        </m:acc>
      </m:oMath>
      <w:r>
        <w:t>.</w:t>
      </w:r>
    </w:p>
    <w:p w14:paraId="6E15E349" w14:textId="77777777" w:rsidR="007E4248" w:rsidRDefault="006466B0">
      <w:pPr>
        <w:pStyle w:val="Heading3"/>
      </w:pPr>
      <w:bookmarkStart w:id="7" w:name="Xbb2bf851335ed0e6d3f492840f782620d429aef"/>
      <w:bookmarkEnd w:id="6"/>
      <w:r>
        <w:t>Third-stage analysis: Trend analysis of seasonal features with uncertainties</w:t>
      </w:r>
    </w:p>
    <w:p w14:paraId="58BD5BA8" w14:textId="77777777" w:rsidR="007E4248" w:rsidRDefault="006466B0">
      <w:pPr>
        <w:pStyle w:val="FirstParagraph"/>
      </w:pPr>
      <w:r>
        <w:t>In stage three of the analysis, we used a meta-analysis method to evaluate linear trends across years of seasonal-average water quality, characterized by the within-year means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and their standard errors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r>
              <m:rPr>
                <m:sty m:val="p"/>
              </m:rPr>
              <w:rPr>
                <w:rFonts w:ascii="Cambria Math" w:hAnsi="Cambria Math"/>
              </w:rPr>
              <m:t>,</m:t>
            </m:r>
            <m:r>
              <w:rPr>
                <w:rFonts w:ascii="Cambria Math" w:hAnsi="Cambria Math"/>
              </w:rP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xml:space="preserve">, </w:t>
      </w:r>
      <m:oMath>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oMath>
      <w:r>
        <w:t xml:space="preserve">, with their associated standard errors,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r>
              <m:rPr>
                <m:sty m:val="p"/>
              </m:rPr>
              <w:rPr>
                <w:rFonts w:ascii="Cambria Math" w:hAnsi="Cambria Math"/>
              </w:rPr>
              <m:t>,</m:t>
            </m:r>
            <m:r>
              <w:rPr>
                <w:rFonts w:ascii="Cambria Math" w:hAnsi="Cambria Math"/>
              </w:rPr>
              <m:t>t</m:t>
            </m:r>
          </m:sub>
        </m:sSub>
      </m:oMath>
      <w:r>
        <w:t xml:space="preserve">. </w:t>
      </w:r>
      <m:oMath>
        <m:r>
          <w:rPr>
            <w:rFonts w:ascii="Cambria Math" w:hAnsi="Cambria Math"/>
          </w:rPr>
          <m:t>N</m:t>
        </m:r>
      </m:oMath>
      <w:r>
        <w:t xml:space="preserve"> is the number of years of the study.</w:t>
      </w:r>
    </w:p>
    <w:p w14:paraId="2A91FD85" w14:textId="77777777" w:rsidR="007E4248" w:rsidRDefault="006466B0">
      <w:pPr>
        <w:pStyle w:val="BodyText"/>
      </w:pPr>
      <w:r>
        <w:t xml:space="preserve">A mixed-effects meta-analysis model can estimate linear trends when each observation has an associated standard error, which is the case with our estimates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r>
              <m:rPr>
                <m:sty m:val="p"/>
              </m:rPr>
              <w:rPr>
                <w:rFonts w:ascii="Cambria Math" w:hAnsi="Cambria Math"/>
              </w:rPr>
              <m:t>,</m:t>
            </m:r>
            <m:r>
              <w:rPr>
                <w:rFonts w:ascii="Cambria Math" w:hAnsi="Cambria Math"/>
              </w:rPr>
              <m:t>t</m:t>
            </m:r>
          </m:sub>
        </m:sSub>
      </m:oMath>
      <w:r>
        <w:t xml:space="preserve">. Differences in standard errors, which may result from different monitoring effort between years, are explicitly considered in the analysis. The model can be expressed using notation similar to </w:t>
      </w:r>
      <w:hyperlink w:anchor="ref-Sera19">
        <w:r>
          <w:rPr>
            <w:rStyle w:val="Hyperlink"/>
          </w:rPr>
          <w:t>Sera et al.</w:t>
        </w:r>
      </w:hyperlink>
      <w:r>
        <w:t xml:space="preserve"> (</w:t>
      </w:r>
      <w:hyperlink w:anchor="ref-Sera19">
        <w:r>
          <w:rPr>
            <w:rStyle w:val="Hyperlink"/>
          </w:rPr>
          <w:t>2019</w:t>
        </w:r>
      </w:hyperlink>
      <w:r>
        <w:t>):</w:t>
      </w:r>
    </w:p>
    <w:p w14:paraId="725BAF94" w14:textId="77777777" w:rsidR="007E4248" w:rsidRDefault="00B25696">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m:t>
              </m:r>
            </m:sub>
          </m:sSub>
          <m:r>
            <w:rPr>
              <w:rFonts w:ascii="Cambria Math" w:hAnsi="Cambria Math"/>
            </w:rPr>
            <m:t>  </m:t>
          </m:r>
          <m:r>
            <m:rPr>
              <m:sty m:val="p"/>
            </m:rPr>
            <w:rPr>
              <w:rFonts w:ascii="Cambria Math" w:hAnsi="Cambria Math"/>
            </w:rPr>
            <m:t>(</m:t>
          </m:r>
          <m:r>
            <w:rPr>
              <w:rFonts w:ascii="Cambria Math" w:hAnsi="Cambria Math"/>
            </w:rPr>
            <m:t>5</m:t>
          </m:r>
          <m:r>
            <m:rPr>
              <m:sty m:val="p"/>
            </m:rPr>
            <w:rPr>
              <w:rFonts w:ascii="Cambria Math" w:hAnsi="Cambria Math"/>
            </w:rPr>
            <m:t>)</m:t>
          </m:r>
        </m:oMath>
      </m:oMathPara>
    </w:p>
    <w:p w14:paraId="17C3C475" w14:textId="77777777" w:rsidR="007E4248" w:rsidRDefault="006466B0">
      <w:pPr>
        <w:pStyle w:val="FirstParagraph"/>
      </w:pPr>
      <w:r>
        <w:t xml:space="preserve">where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intercept, </w:t>
      </w:r>
      <m:oMath>
        <m:r>
          <w:rPr>
            <w:rFonts w:ascii="Cambria Math" w:hAnsi="Cambria Math"/>
          </w:rPr>
          <m:t>t</m:t>
        </m:r>
      </m:oMath>
      <w:r>
        <w:t xml:space="preserve"> is the year, </w:t>
      </w:r>
      <m:oMath>
        <m:sSub>
          <m:sSubPr>
            <m:ctrlPr>
              <w:rPr>
                <w:rFonts w:ascii="Cambria Math" w:hAnsi="Cambria Math"/>
              </w:rPr>
            </m:ctrlPr>
          </m:sSubPr>
          <m:e>
            <m:r>
              <w:rPr>
                <w:rFonts w:ascii="Cambria Math" w:hAnsi="Cambria Math"/>
              </w:rPr>
              <m:t>β</m:t>
            </m:r>
          </m:e>
          <m:sub>
            <m:r>
              <w:rPr>
                <w:rFonts w:ascii="Cambria Math" w:hAnsi="Cambria Math"/>
              </w:rPr>
              <m:t>t</m:t>
            </m:r>
          </m:sub>
        </m:sSub>
      </m:oMath>
      <w:r>
        <w:t xml:space="preserve"> is the slope, </w:t>
      </w:r>
      <m:oMath>
        <m:sSub>
          <m:sSubPr>
            <m:ctrlPr>
              <w:rPr>
                <w:rFonts w:ascii="Cambria Math" w:hAnsi="Cambria Math"/>
              </w:rPr>
            </m:ctrlPr>
          </m:sSubPr>
          <m:e>
            <m:r>
              <w:rPr>
                <w:rFonts w:ascii="Cambria Math" w:hAnsi="Cambria Math"/>
              </w:rPr>
              <m:t>b</m:t>
            </m:r>
          </m:e>
          <m:sub>
            <m:r>
              <w:rPr>
                <w:rFonts w:ascii="Cambria Math" w:hAnsi="Cambria Math"/>
              </w:rPr>
              <m:t>t</m:t>
            </m:r>
          </m:sub>
        </m:sSub>
      </m:oMath>
      <w:r>
        <w:t xml:space="preserve"> is the random effect for year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is the residual for year </w:t>
      </w:r>
      <m:oMath>
        <m:r>
          <w:rPr>
            <w:rFonts w:ascii="Cambria Math" w:hAnsi="Cambria Math"/>
          </w:rPr>
          <m:t>t</m:t>
        </m:r>
      </m:oMath>
      <w:r>
        <w:t xml:space="preserve">. Accordingly, the seasonal average for year </w:t>
      </w:r>
      <m:oMath>
        <m:r>
          <w:rPr>
            <w:rFonts w:ascii="Cambria Math" w:hAnsi="Cambria Math"/>
          </w:rPr>
          <m:t>t</m:t>
        </m:r>
      </m:oMath>
      <w:r>
        <w:t xml:space="preserve"> is </w:t>
      </w:r>
      <m:oMath>
        <m:sSub>
          <m:sSubPr>
            <m:ctrlPr>
              <w:rPr>
                <w:rFonts w:ascii="Cambria Math" w:hAnsi="Cambria Math"/>
              </w:rPr>
            </m:ctrlPr>
          </m:sSubPr>
          <m:e>
            <m:r>
              <w:rPr>
                <w:rFonts w:ascii="Cambria Math" w:hAnsi="Cambria Math"/>
              </w:rPr>
              <m:t>μ</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t</m:t>
            </m:r>
          </m:sub>
        </m:sSub>
      </m:oMath>
      <w:r>
        <w:t xml:space="preserve">. The “residual,” </w:t>
      </w:r>
      <m:oMath>
        <m:sSub>
          <m:sSubPr>
            <m:ctrlPr>
              <w:rPr>
                <w:rFonts w:ascii="Cambria Math" w:hAnsi="Cambria Math"/>
              </w:rPr>
            </m:ctrlPr>
          </m:sSubPr>
          <m:e>
            <m:r>
              <w:rPr>
                <w:rFonts w:ascii="Cambria Math" w:hAnsi="Cambria Math"/>
              </w:rPr>
              <m:t>ϵ</m:t>
            </m:r>
          </m:e>
          <m:sub>
            <m:r>
              <w:rPr>
                <w:rFonts w:ascii="Cambria Math" w:hAnsi="Cambria Math"/>
              </w:rPr>
              <m:t>t</m:t>
            </m:r>
          </m:sub>
        </m:sSub>
      </m:oMath>
      <w:r>
        <w:t xml:space="preserve">, represents estimation error in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oMath>
      <w:r>
        <w:t xml:space="preserve">, namely </w:t>
      </w:r>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The residuals are assumed to be independent and normally distributed with mean 0 and variances </w:t>
      </w:r>
      <m:oMath>
        <m:sSubSup>
          <m:sSubSupPr>
            <m:ctrlPr>
              <w:rPr>
                <w:rFonts w:ascii="Cambria Math" w:hAnsi="Cambria Math"/>
              </w:rPr>
            </m:ctrlPr>
          </m:sSubSupPr>
          <m:e>
            <m:acc>
              <m:accPr>
                <m:ctrlPr>
                  <w:rPr>
                    <w:rFonts w:ascii="Cambria Math" w:hAnsi="Cambria Math"/>
                  </w:rPr>
                </m:ctrlPr>
              </m:accPr>
              <m:e>
                <m:r>
                  <w:rPr>
                    <w:rFonts w:ascii="Cambria Math" w:hAnsi="Cambria Math"/>
                  </w:rPr>
                  <m:t>σ</m:t>
                </m:r>
              </m:e>
            </m:acc>
          </m:e>
          <m:sub>
            <m:acc>
              <m:accPr>
                <m:ctrlPr>
                  <w:rPr>
                    <w:rFonts w:ascii="Cambria Math" w:hAnsi="Cambria Math"/>
                  </w:rPr>
                </m:ctrlPr>
              </m:accPr>
              <m:e>
                <m:r>
                  <w:rPr>
                    <w:rFonts w:ascii="Cambria Math" w:hAnsi="Cambria Math"/>
                  </w:rPr>
                  <m:t>μ</m:t>
                </m:r>
              </m:e>
            </m:acc>
            <m:r>
              <m:rPr>
                <m:sty m:val="p"/>
              </m:rPr>
              <w:rPr>
                <w:rFonts w:ascii="Cambria Math" w:hAnsi="Cambria Math"/>
              </w:rPr>
              <m:t>,</m:t>
            </m:r>
            <m:r>
              <w:rPr>
                <w:rFonts w:ascii="Cambria Math" w:hAnsi="Cambria Math"/>
              </w:rPr>
              <m:t>t</m:t>
            </m:r>
          </m:sub>
          <m:sup>
            <m:r>
              <w:rPr>
                <w:rFonts w:ascii="Cambria Math" w:hAnsi="Cambria Math"/>
              </w:rPr>
              <m:t>2</m:t>
            </m:r>
          </m:sup>
        </m:sSubSup>
      </m:oMath>
      <w:r>
        <w:t xml:space="preserve">, where the latter is estimated from the calculations above. The random effect, </w:t>
      </w:r>
      <m:oMath>
        <m:sSub>
          <m:sSubPr>
            <m:ctrlPr>
              <w:rPr>
                <w:rFonts w:ascii="Cambria Math" w:hAnsi="Cambria Math"/>
              </w:rPr>
            </m:ctrlPr>
          </m:sSubPr>
          <m:e>
            <m:r>
              <w:rPr>
                <w:rFonts w:ascii="Cambria Math" w:hAnsi="Cambria Math"/>
              </w:rPr>
              <m:t>b</m:t>
            </m:r>
          </m:e>
          <m:sub>
            <m:r>
              <w:rPr>
                <w:rFonts w:ascii="Cambria Math" w:hAnsi="Cambria Math"/>
              </w:rPr>
              <m:t>t</m:t>
            </m:r>
          </m:sub>
        </m:sSub>
      </m:oMath>
      <w:r>
        <w:t xml:space="preserve">, is the difference between </w:t>
      </w:r>
      <m:oMath>
        <m:sSub>
          <m:sSubPr>
            <m:ctrlPr>
              <w:rPr>
                <w:rFonts w:ascii="Cambria Math" w:hAnsi="Cambria Math"/>
              </w:rPr>
            </m:ctrlPr>
          </m:sSubPr>
          <m:e>
            <m:r>
              <w:rPr>
                <w:rFonts w:ascii="Cambria Math" w:hAnsi="Cambria Math"/>
              </w:rPr>
              <m:t>μ</m:t>
            </m:r>
          </m:e>
          <m:sub>
            <m:r>
              <w:rPr>
                <w:rFonts w:ascii="Cambria Math" w:hAnsi="Cambria Math"/>
              </w:rPr>
              <m:t>t</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t</m:t>
            </m:r>
          </m:sub>
        </m:sSub>
        <m:r>
          <w:rPr>
            <w:rFonts w:ascii="Cambria Math" w:hAnsi="Cambria Math"/>
          </w:rPr>
          <m:t>t</m:t>
        </m:r>
      </m:oMath>
      <w:r>
        <w:t xml:space="preserve"> and is considered the “residual” in the sense of unexplained variation not due to the estimation error. The random effect follows a normal distribution with mean 0 and variance, </w:t>
      </w:r>
      <m:oMath>
        <m:sSubSup>
          <m:sSubSupPr>
            <m:ctrlPr>
              <w:rPr>
                <w:rFonts w:ascii="Cambria Math" w:hAnsi="Cambria Math"/>
              </w:rPr>
            </m:ctrlPr>
          </m:sSubSupPr>
          <m:e>
            <m:r>
              <w:rPr>
                <w:rFonts w:ascii="Cambria Math" w:hAnsi="Cambria Math"/>
              </w:rPr>
              <m:t>σ</m:t>
            </m:r>
          </m:e>
          <m:sub>
            <m:r>
              <w:rPr>
                <w:rFonts w:ascii="Cambria Math" w:hAnsi="Cambria Math"/>
              </w:rPr>
              <m:t>b</m:t>
            </m:r>
          </m:sub>
          <m:sup>
            <m:r>
              <w:rPr>
                <w:rFonts w:ascii="Cambria Math" w:hAnsi="Cambria Math"/>
              </w:rPr>
              <m:t>2</m:t>
            </m:r>
          </m:sup>
        </m:sSubSup>
      </m:oMath>
      <w:r>
        <w:t>, to be estimated.</w:t>
      </w:r>
    </w:p>
    <w:p w14:paraId="3A0F6FD3" w14:textId="77777777" w:rsidR="007E4248" w:rsidRDefault="006466B0">
      <w:pPr>
        <w:pStyle w:val="BodyText"/>
      </w:pPr>
      <w:r>
        <w:t xml:space="preserve">We estimated the model (equation (5)) using the </w:t>
      </w:r>
      <w:r>
        <w:rPr>
          <w:i/>
          <w:iCs/>
        </w:rPr>
        <w:t>mixmeta</w:t>
      </w:r>
      <w:r>
        <w:t xml:space="preserve"> package in R (</w:t>
      </w:r>
      <w:hyperlink w:anchor="ref-Sera19">
        <w:r>
          <w:rPr>
            <w:rStyle w:val="Hyperlink"/>
          </w:rPr>
          <w:t>Sera et al., 2019</w:t>
        </w:r>
      </w:hyperlink>
      <w:r>
        <w:t xml:space="preserve">). Results from </w:t>
      </w:r>
      <w:r>
        <w:rPr>
          <w:i/>
          <w:iCs/>
        </w:rPr>
        <w:t>mixmeta</w:t>
      </w:r>
      <w:r>
        <w:t xml:space="preserve"> have a similar interpretation as those from regression analysis, but parameter estimates and their standard errors incorporate the known standard errors of the response values. The default estimation method for </w:t>
      </w:r>
      <w:r>
        <w:rPr>
          <w:i/>
          <w:iCs/>
        </w:rPr>
        <w:t>mixmeta</w:t>
      </w:r>
      <w:r>
        <w:t>, restricted maximum likelihood (REML), was used. The meta-analysis models were applied to a chosen sequence or “window” of years for estimating the linear trend.</w:t>
      </w:r>
    </w:p>
    <w:p w14:paraId="7D41B742" w14:textId="77777777" w:rsidR="007E4248" w:rsidRDefault="006466B0">
      <w:pPr>
        <w:pStyle w:val="Heading3"/>
      </w:pPr>
      <w:bookmarkStart w:id="8" w:name="trend-comparisons"/>
      <w:bookmarkEnd w:id="7"/>
      <w:r>
        <w:lastRenderedPageBreak/>
        <w:t>Trend comparisons</w:t>
      </w:r>
    </w:p>
    <w:p w14:paraId="5D20555D" w14:textId="77777777" w:rsidR="007E4248" w:rsidRDefault="006466B0">
      <w:pPr>
        <w:pStyle w:val="FirstParagraph"/>
      </w:pPr>
      <w:r>
        <w:t>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 (</w:t>
      </w:r>
      <w:hyperlink w:anchor="ref-Cloern20">
        <w:r>
          <w:rPr>
            <w:rStyle w:val="Hyperlink"/>
          </w:rPr>
          <w:t>Cloern et al., 2020</w:t>
        </w:r>
      </w:hyperlink>
      <w:r>
        <w:t>).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14:paraId="3C77AA53" w14:textId="77777777" w:rsidR="007E4248" w:rsidRDefault="006466B0">
      <w:pPr>
        <w:pStyle w:val="BodyText"/>
      </w:pPr>
      <w:r>
        <w:t>Finally, trend results from the meta-analysis regression method for each season and different time periods were compared to “naive” 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where differences were pronounced were used for illustration. This analysis was then applied to all stations. The method that formally propagates uncertainty should have more robust statistical properties, such as accurate confidence interval coverage, than naïve methods. For this reason, even when results are similar across methods, the more robust method provides the best support for those results.</w:t>
      </w:r>
    </w:p>
    <w:p w14:paraId="55CE0E50" w14:textId="77777777" w:rsidR="007E4248" w:rsidRDefault="006466B0">
      <w:pPr>
        <w:pStyle w:val="Heading1"/>
      </w:pPr>
      <w:bookmarkStart w:id="9" w:name="results"/>
      <w:bookmarkEnd w:id="2"/>
      <w:bookmarkEnd w:id="4"/>
      <w:bookmarkEnd w:id="8"/>
      <w:r>
        <w:t>Results</w:t>
      </w:r>
    </w:p>
    <w:p w14:paraId="5D07FCEF" w14:textId="77777777" w:rsidR="007E4248" w:rsidRDefault="006466B0">
      <w:pPr>
        <w:pStyle w:val="Heading2"/>
      </w:pPr>
      <w:bookmarkStart w:id="10" w:name="model-performance-and-predictions"/>
      <w:r>
        <w:t>Model performance and predictions</w:t>
      </w:r>
    </w:p>
    <w:p w14:paraId="167F4FEB" w14:textId="77777777" w:rsidR="007E4248" w:rsidRDefault="006466B0">
      <w:pPr>
        <w:pStyle w:val="FirstParagraph"/>
      </w:pPr>
      <w:r>
        <w:t>Model predictions for chl-a trends across all stations had an average R-squared value of 71% (Table 4) and range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14:paraId="2D299DD9" w14:textId="77777777" w:rsidR="007E4248" w:rsidRDefault="006466B0">
      <w:pPr>
        <w:pStyle w:val="Heading2"/>
      </w:pPr>
      <w:bookmarkStart w:id="11" w:name="inter-annual-trend-estimates"/>
      <w:bookmarkEnd w:id="10"/>
      <w:r>
        <w:t>Inter-annual trend estimates</w:t>
      </w:r>
    </w:p>
    <w:p w14:paraId="30995F81" w14:textId="77777777" w:rsidR="007E4248" w:rsidRDefault="006466B0">
      <w:pPr>
        <w:pStyle w:val="FirstParagraph"/>
      </w:pPr>
      <w:r>
        <w:t>Estimates from the seasonal trend analyses (mixed-effects meta-analysis regressions) across roughly ten-year windows for different seasons are shown for station 34 (Figure 4). Plots a-c show trends in January to June averages while plots d-f show trends in July to December averages. January to June chl-a increased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chl-a slope 0.03 </w:t>
      </w:r>
      <m:oMath>
        <m:r>
          <w:rPr>
            <w:rFonts w:ascii="Cambria Math" w:hAnsi="Cambria Math"/>
          </w:rPr>
          <m:t>μ</m:t>
        </m:r>
      </m:oMath>
      <w:r>
        <w:t>g L</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yr</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0.01-0.05 95% confidence interval) from 1991 to 2000, whereas July to December chl-a did not change significantly. Chl-a also increased from 2000 to 2010, but only for July to December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slope 0.03, 0-0.05 95% confidence interval). Finally, chl-a decreased from 2010 to 2019 but again only for July to December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chl-a slope -0.02, -0.04-0 95% confidence interval). Because the </w:t>
      </w:r>
      <w:r>
        <w:lastRenderedPageBreak/>
        <w:t>trends were confined to certain times of the year, the seasonal estimates provide additional information beyond coarser estimates that cover the entire year.</w:t>
      </w:r>
    </w:p>
    <w:p w14:paraId="0226D97C" w14:textId="77777777" w:rsidR="007E4248" w:rsidRDefault="006466B0">
      <w:pPr>
        <w:pStyle w:val="BodyText"/>
      </w:pPr>
      <w:r>
        <w:t xml:space="preserve">Temporal changes varied among regions of the Bay and were more pronounced at southern stations. Figure 5 shows results from similar analyses as those in Figure 4, but applied to all stations. The seasonal trend analyses showed that increases (based on </w:t>
      </w:r>
      <m:oMath>
        <m:r>
          <w:rPr>
            <w:rFonts w:ascii="Cambria Math" w:hAnsi="Cambria Math"/>
          </w:rPr>
          <m:t>p</m:t>
        </m:r>
        <m:r>
          <m:rPr>
            <m:sty m:val="p"/>
          </m:rPr>
          <w:rPr>
            <w:rFonts w:ascii="Cambria Math" w:hAnsi="Cambria Math"/>
          </w:rPr>
          <m:t>&lt;</m:t>
        </m:r>
        <m:r>
          <w:rPr>
            <w:rFonts w:ascii="Cambria Math" w:hAnsi="Cambria Math"/>
          </w:rPr>
          <m:t>0.05</m:t>
        </m:r>
      </m:oMath>
      <w:r>
        <w:t>) for the January to June period were observed at stations 32 and 34 from 1991 to 2000; decreases were observed at stations 30 and 32 from 2010 to 2019. For the July to December period, increases were observed at stations 24, 27, 30, and 32 from 1991 to 2000 and stations 18, 21, 22, 24, and 34 from 2000 to 2010, whereas decreases were observed at stations 30, 32, and 34 from 2010 to 2019.</w:t>
      </w:r>
    </w:p>
    <w:p w14:paraId="27722C0F" w14:textId="77777777" w:rsidR="007E4248" w:rsidRDefault="006466B0">
      <w:pPr>
        <w:pStyle w:val="BodyText"/>
      </w:pPr>
      <w:r>
        <w:t>Results from a ten-year moving window comparison of seasonal trends provided additional context on when significant changes were occurring at each station (Figure 6).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that were more often observed in the July to December period. Additionally, chl-a at the more northern stations has not changed in recent years for either seasonal period. For most stations and seasonal periods, a change from increasing to decreasing chl-a occurred around 2007.</w:t>
      </w:r>
    </w:p>
    <w:p w14:paraId="62111643" w14:textId="77777777" w:rsidR="007E4248" w:rsidRDefault="006466B0">
      <w:pPr>
        <w:pStyle w:val="Heading2"/>
      </w:pPr>
      <w:bookmarkStart w:id="12" w:name="importance-of-uncertainty-propagation"/>
      <w:bookmarkEnd w:id="11"/>
      <w:r>
        <w:t>Importance of uncertainty propagation</w:t>
      </w:r>
    </w:p>
    <w:p w14:paraId="448FFEE0" w14:textId="77777777" w:rsidR="007E4248" w:rsidRDefault="006466B0">
      <w:pPr>
        <w:pStyle w:val="FirstParagraph"/>
      </w:pPr>
      <w:r>
        <w:t xml:space="preserve">Results showing trend estimates from meta-analysis on GAM seasonal averages provided different conclusions than those from either OLS regression through seasonal averages from raw data (Figure 7 row 1) or OLS regression through GAM seasonal averages without uncertainty propagation (Figure 7 row 2). Figure 7a shows trend estimates for station 30 for January to June averages from 2000 to 2010. Only the meta-analysis regression results show a trend in this example (based on </w:t>
      </w:r>
      <m:oMath>
        <m:r>
          <w:rPr>
            <w:rFonts w:ascii="Cambria Math" w:hAnsi="Cambria Math"/>
          </w:rPr>
          <m:t>p</m:t>
        </m:r>
        <m:r>
          <m:rPr>
            <m:sty m:val="p"/>
          </m:rPr>
          <w:rPr>
            <w:rFonts w:ascii="Cambria Math" w:hAnsi="Cambria Math"/>
          </w:rPr>
          <m:t>&lt;</m:t>
        </m:r>
        <m:r>
          <w:rPr>
            <w:rFonts w:ascii="Cambria Math" w:hAnsi="Cambria Math"/>
          </w:rPr>
          <m:t>0.05</m:t>
        </m:r>
      </m:oMath>
      <w:r>
        <w:t>). The OLS regression on observed estimates (top plot) and OLS regression on GAM estimates (middle plot) did not identify trends. Figure 7b shows trend estimates at station 34 for July to December averages from 1991 to 2000. Unlike the first example, only the middle figure shows a trend, whereas the top and bottom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14:paraId="6331BED9" w14:textId="77777777" w:rsidR="007E4248" w:rsidRDefault="006466B0">
      <w:pPr>
        <w:pStyle w:val="BodyText"/>
      </w:pPr>
      <w:r>
        <w:t>Applying the same comparison to all stations showed that different trend analysis methods provided conflicting information on the magnitude and significance of the seasonal chl-a changes in each decade (Figure 8).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14:paraId="0673851E" w14:textId="77777777" w:rsidR="007E4248" w:rsidRDefault="006466B0">
      <w:pPr>
        <w:pStyle w:val="Heading1"/>
      </w:pPr>
      <w:bookmarkStart w:id="13" w:name="discussion"/>
      <w:bookmarkEnd w:id="9"/>
      <w:bookmarkEnd w:id="12"/>
      <w:r>
        <w:lastRenderedPageBreak/>
        <w:t>Discussion</w:t>
      </w:r>
    </w:p>
    <w:p w14:paraId="18C69429" w14:textId="77777777" w:rsidR="007E4248" w:rsidRDefault="006466B0">
      <w:pPr>
        <w:pStyle w:val="FirstParagraph"/>
      </w:pPr>
      <w:r>
        <w:t>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 (</w:t>
      </w:r>
      <w:hyperlink w:anchor="ref-Junninen04">
        <w:r>
          <w:rPr>
            <w:rStyle w:val="Hyperlink"/>
          </w:rPr>
          <w:t>Junninen et al., 2004</w:t>
        </w:r>
      </w:hyperlink>
      <w:r>
        <w:t xml:space="preserve">; </w:t>
      </w:r>
      <w:hyperlink w:anchor="ref-Racault14">
        <w:r>
          <w:rPr>
            <w:rStyle w:val="Hyperlink"/>
          </w:rPr>
          <w:t>Racault et al., 2014</w:t>
        </w:r>
      </w:hyperlink>
      <w:r>
        <w:t>). As noted above, non-parametric approaches (i.e., seasonal Kendall tests) are by far the most common trend analysis methods applied to long-term water quality data (</w:t>
      </w:r>
      <w:hyperlink w:anchor="ref-Helsel20">
        <w:r>
          <w:rPr>
            <w:rStyle w:val="Hyperlink"/>
          </w:rPr>
          <w:t>Helsel et al., 2020</w:t>
        </w:r>
      </w:hyperlink>
      <w:r>
        <w:t xml:space="preserve">; </w:t>
      </w:r>
      <w:hyperlink w:anchor="ref-Hirsch82">
        <w:r>
          <w:rPr>
            <w:rStyle w:val="Hyperlink"/>
          </w:rPr>
          <w:t>Hirsch et al., 1982</w:t>
        </w:r>
      </w:hyperlink>
      <w:r>
        <w:t>). These methods only assess the direction and significance of comparisons across years,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14:paraId="152EAE95" w14:textId="77777777" w:rsidR="007E4248" w:rsidRDefault="006466B0">
      <w:pPr>
        <w:pStyle w:val="BodyText"/>
      </w:pPr>
      <w:r>
        <w:t>Incorrect conclusions on trends can have dramatic consequences for regulated parties under existing water quality compliance frameworks (</w:t>
      </w:r>
      <w:hyperlink w:anchor="ref-Smith01">
        <w:r>
          <w:rPr>
            <w:rStyle w:val="Hyperlink"/>
          </w:rPr>
          <w:t>Smith et al., 2001</w:t>
        </w:r>
      </w:hyperlink>
      <w:r>
        <w:t>). Our examples in Figures 7 and 8 demonstrate these risks if propagation of uncertainty from raw observations across methods is unaccounted for in trend assessment. The “naïve” method using OLS regression applied to seasonal averages from the raw observations fails to propagate uncertainty, similarly to averaging results within a year and applying a simple Kendall test. In some cases the results may be similar to those from fully propagating uncertainty, but the loss of information can lead to increased Type I or II error rates depending on characteristics of the raw data and the method used for their evaluation (</w:t>
      </w:r>
      <w:hyperlink w:anchor="ref-Shabman03">
        <w:r>
          <w:rPr>
            <w:rStyle w:val="Hyperlink"/>
          </w:rPr>
          <w:t>Shabman and Smith, 2003</w:t>
        </w:r>
      </w:hyperlink>
      <w:r>
        <w:t>). Our examples demonstrated the increased potential for incorrect conclusions at specific monitoring locations and, at larger spatial scales, across all stations if simpler trend analyses are used. Even though simpler methods may produce similar results in some cases, particularly with frequent sampling and similar effort between years, the only way to confirm such an outcome would be to compare results, relying on the method with full propagation of uncertainty to be the more robust method. Use of methods that fully account for uncertainty is recommended to obtain statistically valid results in a wider range of conditions.</w:t>
      </w:r>
    </w:p>
    <w:p w14:paraId="3AEC3AC2" w14:textId="77777777" w:rsidR="007E4248" w:rsidRDefault="006466B0">
      <w:pPr>
        <w:pStyle w:val="BodyText"/>
      </w:pPr>
      <w:r>
        <w:t>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3). The approach presented here leverages the ability of GAMs to objectively estimate smoothed trends across years by identifying an optimal level of smoothing using generalized cross-validation to extract an underlying signal in the observed data (</w:t>
      </w:r>
      <w:hyperlink w:anchor="ref-Wood17">
        <w:r>
          <w:rPr>
            <w:rStyle w:val="Hyperlink"/>
          </w:rPr>
          <w:t>Wood, 2017</w:t>
        </w:r>
      </w:hyperlink>
      <w:r>
        <w:t xml:space="preserve">, </w:t>
      </w:r>
      <w:hyperlink w:anchor="ref-Wood04">
        <w:r>
          <w:rPr>
            <w:rStyle w:val="Hyperlink"/>
          </w:rPr>
          <w:t>2004</w:t>
        </w:r>
      </w:hyperlink>
      <w:r>
        <w:t>).</w:t>
      </w:r>
    </w:p>
    <w:p w14:paraId="1396F9E6" w14:textId="77777777" w:rsidR="007E4248" w:rsidRDefault="006466B0">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w:t>
      </w:r>
      <w:r>
        <w:lastRenderedPageBreak/>
        <w:t>appropriate window widths or bandwidths to define the neighborhood of observations for smoothing (</w:t>
      </w:r>
      <w:hyperlink w:anchor="ref-Hirsch10">
        <w:r>
          <w:rPr>
            <w:rStyle w:val="Hyperlink"/>
          </w:rPr>
          <w:t>Hirsch et al., 2010</w:t>
        </w:r>
      </w:hyperlink>
      <w:r>
        <w:t xml:space="preserve">; </w:t>
      </w:r>
      <w:hyperlink w:anchor="ref-Wan17">
        <w:r>
          <w:rPr>
            <w:rStyle w:val="Hyperlink"/>
          </w:rPr>
          <w:t>Wan et al., 2017</w:t>
        </w:r>
      </w:hyperlink>
      <w:r>
        <w:t>). This is especially problematic for policy analysis or regulatory decisions if the results change based on arbitrary decisions of the analyst. Because these decisions are not needed for GAMs, the results can be considered a more objective and potentially accurate signal of actual trends that are minimally influenced by process or observation error present in the raw data.</w:t>
      </w:r>
    </w:p>
    <w:p w14:paraId="21FDA2BB" w14:textId="77777777" w:rsidR="007E4248" w:rsidRDefault="006466B0">
      <w:pPr>
        <w:pStyle w:val="BodyText"/>
      </w:pPr>
      <w:r>
        <w:t>Several limitations of the proposed methods deserve mention. First, if sampling is so irregular that important fluctuations are missed entirely in some years, the GAM estimates and uncertainty propagation could become dubious in interpretation and usefulness. Second, estimation of GAMs for very long series can be computationally demanding. When this is an obstacle, one could do the first two analysis stages using temporal windows of the full data, with the only implication being that different degrees of smoothness may be estimated for different windows, which indeed might be justified by the data. Third, meta-analysis regression results for a very small number of years, particularly confidence intervals and associated p-values, may be inaccurate (e.g. in confidence interval coverage). In such cases, one could make alternative use of the GAM seasonal averages and standard errors, such as for pairwise comparisons among years.</w:t>
      </w:r>
    </w:p>
    <w:p w14:paraId="1A589FED" w14:textId="77777777" w:rsidR="007E4248" w:rsidRDefault="006466B0">
      <w:pPr>
        <w:pStyle w:val="Heading2"/>
      </w:pPr>
      <w:bookmarkStart w:id="14" w:name="future-work"/>
      <w:r>
        <w:t>Future work</w:t>
      </w:r>
    </w:p>
    <w:p w14:paraId="54FBFF38" w14:textId="77777777" w:rsidR="007E4248" w:rsidRDefault="006466B0">
      <w:pPr>
        <w:pStyle w:val="FirstParagraph"/>
      </w:pPr>
      <w:r>
        <w:t xml:space="preserve">Additional work could be conducted to further strengthen the conclusions based on trends from meta-analysis regression applied to the GAM seasonal averages. Our third stage analyses require </w:t>
      </w:r>
      <w:r>
        <w:rPr>
          <w:i/>
          <w:iCs/>
        </w:rPr>
        <w:t>a priori</w:t>
      </w:r>
      <w:r>
        <w:t xml:space="preserve"> 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 when 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14:paraId="627AE30E" w14:textId="77777777" w:rsidR="007E4248" w:rsidRDefault="006466B0">
      <w:pPr>
        <w:pStyle w:val="BodyText"/>
      </w:pPr>
      <w:r>
        <w:t>Additional explanatory variables could be identified to explain trends in either the GAM stage or the meta-analysis stage of analysis. This information would have obvious implications for management decisions on factors that influence water quality changes, e.g., wastewater treatment upgrades, large-scale climatic factors, or flow regulation practices. Including alternative predictors in the GAMs (</w:t>
      </w:r>
      <w:hyperlink w:anchor="ref-Wood02">
        <w:r>
          <w:rPr>
            <w:rStyle w:val="Hyperlink"/>
          </w:rPr>
          <w:t>Wood and Augustin, 2002</w:t>
        </w:r>
      </w:hyperlink>
      <w:r>
        <w:t xml:space="preserve">; </w:t>
      </w:r>
      <w:hyperlink w:anchor="ref-Zuur09">
        <w:r>
          <w:rPr>
            <w:rStyle w:val="Hyperlink"/>
          </w:rPr>
          <w:t>Zuur et al., 2009</w:t>
        </w:r>
      </w:hyperlink>
      <w:r>
        <w:t>) could reduce the uncertainties of its estimates and, if relevant, allow the influence of those variables to be removed. Including alternative predictors in the meta-analysis could help in explaining long-term trends of seasonal averages or other metrics obtained from the GAMs. Our goal here was to describe chl-a changes relative to time, so the single predictor in both modeling stages was time.</w:t>
      </w:r>
    </w:p>
    <w:p w14:paraId="1F657684" w14:textId="77777777" w:rsidR="007E4248" w:rsidRDefault="006466B0">
      <w:pPr>
        <w:pStyle w:val="BodyText"/>
      </w:pPr>
      <w:r>
        <w:t>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 (</w:t>
      </w:r>
      <w:hyperlink w:anchor="ref-Cloern16">
        <w:r>
          <w:rPr>
            <w:rStyle w:val="Hyperlink"/>
          </w:rPr>
          <w:t>Cloern and Schraga, 2016</w:t>
        </w:r>
      </w:hyperlink>
      <w:r>
        <w:t xml:space="preserve">; </w:t>
      </w:r>
      <w:hyperlink w:anchor="ref-Schraga20">
        <w:r>
          <w:rPr>
            <w:rStyle w:val="Hyperlink"/>
          </w:rPr>
          <w:t>Schraga et al., 2020</w:t>
        </w:r>
      </w:hyperlink>
      <w:r>
        <w:t xml:space="preserve">). These parameters include salinity, temperature, light attenuation, dissolved oxygen, suspended particulate matter, and dissolved inorganic nutrients, which collectively can </w:t>
      </w:r>
      <w:r>
        <w:lastRenderedPageBreak/>
        <w:t>be used to provide a broader understanding of potential eutrophication patterns or ecosystem shifts at seasonal and multi-decadal scales. Chl-a measurements can also be used to estimate gross primary production to assess process rates that may be more indicative of system function (</w:t>
      </w:r>
      <w:hyperlink w:anchor="ref-Cloern07">
        <w:r>
          <w:rPr>
            <w:rStyle w:val="Hyperlink"/>
          </w:rPr>
          <w:t>Cloern et al., 2007</w:t>
        </w:r>
      </w:hyperlink>
      <w:r>
        <w:t xml:space="preserve">; </w:t>
      </w:r>
      <w:hyperlink w:anchor="ref-Jassby02">
        <w:r>
          <w:rPr>
            <w:rStyle w:val="Hyperlink"/>
          </w:rPr>
          <w:t>Jassby et al., 2002</w:t>
        </w:r>
      </w:hyperlink>
      <w:r>
        <w:t>). The open-source wqtrends R package (</w:t>
      </w:r>
      <w:hyperlink w:anchor="ref-Beck21">
        <w:r>
          <w:rPr>
            <w:rStyle w:val="Hyperlink"/>
          </w:rPr>
          <w:t>Beck et al., 2021</w:t>
        </w:r>
      </w:hyperlink>
      <w:r>
        <w:t>) developed for this manuscript can be used for these analyses to provide additional insight into potential drivers of water quality change in the SFE and other estuarine systems.</w:t>
      </w:r>
    </w:p>
    <w:p w14:paraId="1280650C" w14:textId="77777777" w:rsidR="007E4248" w:rsidRDefault="006466B0">
      <w:pPr>
        <w:pStyle w:val="Heading1"/>
      </w:pPr>
      <w:bookmarkStart w:id="15" w:name="acknowledgments"/>
      <w:bookmarkEnd w:id="13"/>
      <w:bookmarkEnd w:id="14"/>
      <w:r>
        <w:t>Acknowledgments</w:t>
      </w:r>
    </w:p>
    <w:p w14:paraId="62B12E96" w14:textId="6B9D931D" w:rsidR="007E4248" w:rsidRDefault="006466B0">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t>
      </w:r>
      <w:r w:rsidR="00640711">
        <w:t>We thank James D. Hagy III and two anonymous reviewers for providing helpful comments on this manuscript.</w:t>
      </w:r>
    </w:p>
    <w:p w14:paraId="4255174B" w14:textId="77777777" w:rsidR="007E4248" w:rsidRDefault="006466B0">
      <w:pPr>
        <w:pStyle w:val="Heading1"/>
      </w:pPr>
      <w:bookmarkStart w:id="16" w:name="figures"/>
      <w:bookmarkEnd w:id="15"/>
      <w:r>
        <w:t>Figures</w:t>
      </w:r>
    </w:p>
    <w:p w14:paraId="556B7A2D" w14:textId="77777777" w:rsidR="007E4248" w:rsidRDefault="006466B0">
      <w:r>
        <w:rPr>
          <w:noProof/>
        </w:rPr>
        <w:drawing>
          <wp:inline distT="0" distB="0" distL="0" distR="0">
            <wp:extent cx="5943600" cy="5200650"/>
            <wp:effectExtent l="0" t="0" r="0" b="0"/>
            <wp:docPr id="1" name="Picture" descr="Figure 1: Observed chl-a concentrations for all stations in central and south San Francisco Estuary (18-36, Figure 2), with (a) annual summer/fall concentrations (Aug - Dec) and (b) monthly concentrations by decade."/>
            <wp:cNvGraphicFramePr/>
            <a:graphic xmlns:a="http://schemas.openxmlformats.org/drawingml/2006/main">
              <a:graphicData uri="http://schemas.openxmlformats.org/drawingml/2006/picture">
                <pic:pic xmlns:pic="http://schemas.openxmlformats.org/drawingml/2006/picture">
                  <pic:nvPicPr>
                    <pic:cNvPr id="0" name="Picture" descr="figs/obsdat.png"/>
                    <pic:cNvPicPr>
                      <a:picLocks noChangeAspect="1" noChangeArrowheads="1"/>
                    </pic:cNvPicPr>
                  </pic:nvPicPr>
                  <pic:blipFill>
                    <a:blip r:embed="rId16"/>
                    <a:stretch>
                      <a:fillRect/>
                    </a:stretch>
                  </pic:blipFill>
                  <pic:spPr bwMode="auto">
                    <a:xfrm>
                      <a:off x="0" y="0"/>
                      <a:ext cx="5943600" cy="5200650"/>
                    </a:xfrm>
                    <a:prstGeom prst="rect">
                      <a:avLst/>
                    </a:prstGeom>
                    <a:noFill/>
                    <a:ln w="9525">
                      <a:noFill/>
                      <a:headEnd/>
                      <a:tailEnd/>
                    </a:ln>
                  </pic:spPr>
                </pic:pic>
              </a:graphicData>
            </a:graphic>
          </wp:inline>
        </w:drawing>
      </w:r>
    </w:p>
    <w:p w14:paraId="173AF9B3" w14:textId="77777777" w:rsidR="007E4248" w:rsidRDefault="006466B0">
      <w:pPr>
        <w:pStyle w:val="ImageCaption"/>
      </w:pPr>
      <w:r>
        <w:lastRenderedPageBreak/>
        <w:t>Figure 1: Observed chl-a concentrations for all stations in central and south San Francisco Estuary (18-36, Figure 2), with (a) annual summer/fall concentrations (Aug - Dec) and (b) monthly concentrations by decade.</w:t>
      </w:r>
    </w:p>
    <w:p w14:paraId="4C8A0A57" w14:textId="77777777" w:rsidR="007E4248" w:rsidRDefault="006466B0">
      <w:r>
        <w:rPr>
          <w:noProof/>
        </w:rPr>
        <w:drawing>
          <wp:inline distT="0" distB="0" distL="0" distR="0">
            <wp:extent cx="4583458" cy="5958496"/>
            <wp:effectExtent l="0" t="0" r="0" b="0"/>
            <wp:docPr id="2" name="Picture" descr="Figure 2: Station locations in the central and south San Francisco Estuary used for analysis. See Table 1 for station descriptions. Full dataset described in Schraga et al. (2020)."/>
            <wp:cNvGraphicFramePr/>
            <a:graphic xmlns:a="http://schemas.openxmlformats.org/drawingml/2006/main">
              <a:graphicData uri="http://schemas.openxmlformats.org/drawingml/2006/picture">
                <pic:pic xmlns:pic="http://schemas.openxmlformats.org/drawingml/2006/picture">
                  <pic:nvPicPr>
                    <pic:cNvPr id="0" name="Picture" descr="figs/sitemap.png"/>
                    <pic:cNvPicPr>
                      <a:picLocks noChangeAspect="1" noChangeArrowheads="1"/>
                    </pic:cNvPicPr>
                  </pic:nvPicPr>
                  <pic:blipFill>
                    <a:blip r:embed="rId17"/>
                    <a:stretch>
                      <a:fillRect/>
                    </a:stretch>
                  </pic:blipFill>
                  <pic:spPr bwMode="auto">
                    <a:xfrm>
                      <a:off x="0" y="0"/>
                      <a:ext cx="4583458" cy="5958496"/>
                    </a:xfrm>
                    <a:prstGeom prst="rect">
                      <a:avLst/>
                    </a:prstGeom>
                    <a:noFill/>
                    <a:ln w="9525">
                      <a:noFill/>
                      <a:headEnd/>
                      <a:tailEnd/>
                    </a:ln>
                  </pic:spPr>
                </pic:pic>
              </a:graphicData>
            </a:graphic>
          </wp:inline>
        </w:drawing>
      </w:r>
    </w:p>
    <w:p w14:paraId="66BB7BED" w14:textId="77777777" w:rsidR="007E4248" w:rsidRDefault="006466B0">
      <w:pPr>
        <w:pStyle w:val="ImageCaption"/>
      </w:pPr>
      <w:r>
        <w:t xml:space="preserve">Figure 2: Station locations in the central and south San Francisco Estuary used for analysis. See Table 1 for station descriptions. Full dataset described in </w:t>
      </w:r>
      <w:hyperlink w:anchor="ref-Schraga20">
        <w:r>
          <w:rPr>
            <w:rStyle w:val="Hyperlink"/>
          </w:rPr>
          <w:t>Schraga et al.</w:t>
        </w:r>
      </w:hyperlink>
      <w:r>
        <w:t xml:space="preserve"> (</w:t>
      </w:r>
      <w:hyperlink w:anchor="ref-Schraga20">
        <w:r>
          <w:rPr>
            <w:rStyle w:val="Hyperlink"/>
          </w:rPr>
          <w:t>2020</w:t>
        </w:r>
      </w:hyperlink>
      <w:r>
        <w:t>).</w:t>
      </w:r>
    </w:p>
    <w:p w14:paraId="418E2883" w14:textId="77777777" w:rsidR="007E4248" w:rsidRDefault="006466B0">
      <w:r>
        <w:rPr>
          <w:noProof/>
        </w:rPr>
        <w:lastRenderedPageBreak/>
        <w:drawing>
          <wp:inline distT="0" distB="0" distL="0" distR="0">
            <wp:extent cx="5943600" cy="5200650"/>
            <wp:effectExtent l="0" t="0" r="0" b="0"/>
            <wp:docPr id="3" name="Picture"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wp:cNvGraphicFramePr/>
            <a:graphic xmlns:a="http://schemas.openxmlformats.org/drawingml/2006/main">
              <a:graphicData uri="http://schemas.openxmlformats.org/drawingml/2006/picture">
                <pic:pic xmlns:pic="http://schemas.openxmlformats.org/drawingml/2006/picture">
                  <pic:nvPicPr>
                    <pic:cNvPr id="0" name="Picture" descr="figs/modsumfig.png"/>
                    <pic:cNvPicPr>
                      <a:picLocks noChangeAspect="1" noChangeArrowheads="1"/>
                    </pic:cNvPicPr>
                  </pic:nvPicPr>
                  <pic:blipFill>
                    <a:blip r:embed="rId18"/>
                    <a:stretch>
                      <a:fillRect/>
                    </a:stretch>
                  </pic:blipFill>
                  <pic:spPr bwMode="auto">
                    <a:xfrm>
                      <a:off x="0" y="0"/>
                      <a:ext cx="5943600" cy="5200650"/>
                    </a:xfrm>
                    <a:prstGeom prst="rect">
                      <a:avLst/>
                    </a:prstGeom>
                    <a:noFill/>
                    <a:ln w="9525">
                      <a:noFill/>
                      <a:headEnd/>
                      <a:tailEnd/>
                    </a:ln>
                  </pic:spPr>
                </pic:pic>
              </a:graphicData>
            </a:graphic>
          </wp:inline>
        </w:drawing>
      </w:r>
    </w:p>
    <w:p w14:paraId="05B4F545" w14:textId="77777777" w:rsidR="007E4248" w:rsidRDefault="006466B0">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w:t>
      </w:r>
      <w:r>
        <w:rPr>
          <w:rStyle w:val="VerbatimChar"/>
        </w:rPr>
        <w:t>cont_year</w:t>
      </w:r>
      <w:r>
        <w:t xml:space="preserve">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14:paraId="0A321D14" w14:textId="77777777" w:rsidR="007E4248" w:rsidRDefault="006466B0">
      <w:r>
        <w:rPr>
          <w:noProof/>
        </w:rPr>
        <w:lastRenderedPageBreak/>
        <w:drawing>
          <wp:inline distT="0" distB="0" distL="0" distR="0">
            <wp:extent cx="5943600" cy="3241963"/>
            <wp:effectExtent l="0" t="0" r="0" b="0"/>
            <wp:docPr id="4" name="Picture"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wp:cNvGraphicFramePr/>
            <a:graphic xmlns:a="http://schemas.openxmlformats.org/drawingml/2006/main">
              <a:graphicData uri="http://schemas.openxmlformats.org/drawingml/2006/picture">
                <pic:pic xmlns:pic="http://schemas.openxmlformats.org/drawingml/2006/picture">
                  <pic:nvPicPr>
                    <pic:cNvPr id="0" name="Picture" descr="figs/trnddat.png"/>
                    <pic:cNvPicPr>
                      <a:picLocks noChangeAspect="1" noChangeArrowheads="1"/>
                    </pic:cNvPicPr>
                  </pic:nvPicPr>
                  <pic:blipFill>
                    <a:blip r:embed="rId19"/>
                    <a:stretch>
                      <a:fillRect/>
                    </a:stretch>
                  </pic:blipFill>
                  <pic:spPr bwMode="auto">
                    <a:xfrm>
                      <a:off x="0" y="0"/>
                      <a:ext cx="5943600" cy="3241963"/>
                    </a:xfrm>
                    <a:prstGeom prst="rect">
                      <a:avLst/>
                    </a:prstGeom>
                    <a:noFill/>
                    <a:ln w="9525">
                      <a:noFill/>
                      <a:headEnd/>
                      <a:tailEnd/>
                    </a:ln>
                  </pic:spPr>
                </pic:pic>
              </a:graphicData>
            </a:graphic>
          </wp:inline>
        </w:drawing>
      </w:r>
    </w:p>
    <w:p w14:paraId="3F9246E8" w14:textId="77777777" w:rsidR="007E4248" w:rsidRDefault="006466B0">
      <w:pPr>
        <w:pStyle w:val="ImageCaption"/>
      </w:pPr>
      <w:r>
        <w:t>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-slope (+/- 95 % confidence interval) in the sub-plot titles. ns: not significant at </w:t>
      </w:r>
      <m:oMath>
        <m:r>
          <w:rPr>
            <w:rFonts w:ascii="Cambria Math" w:hAnsi="Cambria Math"/>
          </w:rPr>
          <m:t>α</m:t>
        </m:r>
      </m:oMath>
      <w:r>
        <w:t xml:space="preserve"> = 0.05, * p &lt; 0.05</w:t>
      </w:r>
    </w:p>
    <w:p w14:paraId="1845BCF7" w14:textId="77777777" w:rsidR="007E4248" w:rsidRDefault="006466B0">
      <w:r>
        <w:rPr>
          <w:noProof/>
        </w:rPr>
        <w:lastRenderedPageBreak/>
        <w:drawing>
          <wp:inline distT="0" distB="0" distL="0" distR="0">
            <wp:extent cx="5943600" cy="5151120"/>
            <wp:effectExtent l="0" t="0" r="0" b="0"/>
            <wp:docPr id="5" name="Picture"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wp:cNvGraphicFramePr/>
            <a:graphic xmlns:a="http://schemas.openxmlformats.org/drawingml/2006/main">
              <a:graphicData uri="http://schemas.openxmlformats.org/drawingml/2006/picture">
                <pic:pic xmlns:pic="http://schemas.openxmlformats.org/drawingml/2006/picture">
                  <pic:nvPicPr>
                    <pic:cNvPr id="0" name="Picture" descr="figs/trndmap.png"/>
                    <pic:cNvPicPr>
                      <a:picLocks noChangeAspect="1" noChangeArrowheads="1"/>
                    </pic:cNvPicPr>
                  </pic:nvPicPr>
                  <pic:blipFill>
                    <a:blip r:embed="rId20"/>
                    <a:stretch>
                      <a:fillRect/>
                    </a:stretch>
                  </pic:blipFill>
                  <pic:spPr bwMode="auto">
                    <a:xfrm>
                      <a:off x="0" y="0"/>
                      <a:ext cx="5943600" cy="5151120"/>
                    </a:xfrm>
                    <a:prstGeom prst="rect">
                      <a:avLst/>
                    </a:prstGeom>
                    <a:noFill/>
                    <a:ln w="9525">
                      <a:noFill/>
                      <a:headEnd/>
                      <a:tailEnd/>
                    </a:ln>
                  </pic:spPr>
                </pic:pic>
              </a:graphicData>
            </a:graphic>
          </wp:inline>
        </w:drawing>
      </w:r>
    </w:p>
    <w:p w14:paraId="466F14D0" w14:textId="77777777" w:rsidR="007E4248" w:rsidRDefault="006466B0">
      <w:pPr>
        <w:pStyle w:val="ImageCaption"/>
      </w:pPr>
      <w:r>
        <w:t>Figure 5: Interannual trend estimates of seasonal averages by decade for chl-a at each station. Point type and color represent the direction and magnitude of an estimated trend as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slope for chl-a concentration per year. Trends with </w:t>
      </w:r>
      <m:oMath>
        <m:r>
          <w:rPr>
            <w:rFonts w:ascii="Cambria Math" w:hAnsi="Cambria Math"/>
          </w:rPr>
          <m:t>p&lt;0.05</m:t>
        </m:r>
      </m:oMath>
      <w:r>
        <w:t xml:space="preserve"> are marked with an asterisk. All results are from Model </w:t>
      </w:r>
      <w:r>
        <w:rPr>
          <w:rStyle w:val="VerbatimChar"/>
        </w:rPr>
        <w:t>S</w:t>
      </w:r>
      <w:r>
        <w:t>.</w:t>
      </w:r>
    </w:p>
    <w:p w14:paraId="31624416" w14:textId="77777777" w:rsidR="007E4248" w:rsidRDefault="006466B0">
      <w:r>
        <w:rPr>
          <w:noProof/>
        </w:rPr>
        <w:lastRenderedPageBreak/>
        <w:drawing>
          <wp:inline distT="0" distB="0" distL="0" distR="0">
            <wp:extent cx="5943600" cy="5943600"/>
            <wp:effectExtent l="0" t="0" r="0" b="0"/>
            <wp:docPr id="6" name="Picture"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wp:cNvGraphicFramePr/>
            <a:graphic xmlns:a="http://schemas.openxmlformats.org/drawingml/2006/main">
              <a:graphicData uri="http://schemas.openxmlformats.org/drawingml/2006/picture">
                <pic:pic xmlns:pic="http://schemas.openxmlformats.org/drawingml/2006/picture">
                  <pic:nvPicPr>
                    <pic:cNvPr id="0" name="Picture" descr="figs/winchg.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14:paraId="21DACCB9" w14:textId="77777777" w:rsidR="007E4248" w:rsidRDefault="006466B0">
      <w:pPr>
        <w:pStyle w:val="ImageCaption"/>
      </w:pPr>
      <w:r>
        <w:t>Figure 6: Estimates of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14:paraId="12CE4E92" w14:textId="77777777" w:rsidR="007E4248" w:rsidRDefault="006466B0">
      <w:r>
        <w:rPr>
          <w:noProof/>
        </w:rPr>
        <w:lastRenderedPageBreak/>
        <w:drawing>
          <wp:inline distT="0" distB="0" distL="0" distR="0">
            <wp:extent cx="5943600" cy="4984954"/>
            <wp:effectExtent l="0" t="0" r="0" b="0"/>
            <wp:docPr id="7" name="Picture" descr="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wp:cNvGraphicFramePr/>
            <a:graphic xmlns:a="http://schemas.openxmlformats.org/drawingml/2006/main">
              <a:graphicData uri="http://schemas.openxmlformats.org/drawingml/2006/picture">
                <pic:pic xmlns:pic="http://schemas.openxmlformats.org/drawingml/2006/picture">
                  <pic:nvPicPr>
                    <pic:cNvPr id="0" name="Picture" descr="figs/trndcmpex.png"/>
                    <pic:cNvPicPr>
                      <a:picLocks noChangeAspect="1" noChangeArrowheads="1"/>
                    </pic:cNvPicPr>
                  </pic:nvPicPr>
                  <pic:blipFill>
                    <a:blip r:embed="rId22"/>
                    <a:stretch>
                      <a:fillRect/>
                    </a:stretch>
                  </pic:blipFill>
                  <pic:spPr bwMode="auto">
                    <a:xfrm>
                      <a:off x="0" y="0"/>
                      <a:ext cx="5943600" cy="4984954"/>
                    </a:xfrm>
                    <a:prstGeom prst="rect">
                      <a:avLst/>
                    </a:prstGeom>
                    <a:noFill/>
                    <a:ln w="9525">
                      <a:noFill/>
                      <a:headEnd/>
                      <a:tailEnd/>
                    </a:ln>
                  </pic:spPr>
                </pic:pic>
              </a:graphicData>
            </a:graphic>
          </wp:inline>
        </w:drawing>
      </w:r>
    </w:p>
    <w:p w14:paraId="0FA90305" w14:textId="77777777" w:rsidR="007E4248" w:rsidRDefault="006466B0">
      <w:pPr>
        <w:pStyle w:val="ImageCaption"/>
      </w:pPr>
      <w:r>
        <w:t>Figure 7: Trend estimate comparisons (arithmetic scale) for three models applied to seasonal averages of chl-a in different annual periods at stations (a) 30 and (b) 34.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w:t>
      </w:r>
    </w:p>
    <w:p w14:paraId="61E59155" w14:textId="77777777" w:rsidR="007E4248" w:rsidRDefault="006466B0">
      <w:r>
        <w:rPr>
          <w:noProof/>
        </w:rPr>
        <w:lastRenderedPageBreak/>
        <w:drawing>
          <wp:inline distT="0" distB="0" distL="0" distR="0">
            <wp:extent cx="5943600" cy="4754880"/>
            <wp:effectExtent l="0" t="0" r="0" b="0"/>
            <wp:docPr id="8" name="Picture"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wp:cNvGraphicFramePr/>
            <a:graphic xmlns:a="http://schemas.openxmlformats.org/drawingml/2006/main">
              <a:graphicData uri="http://schemas.openxmlformats.org/drawingml/2006/picture">
                <pic:pic xmlns:pic="http://schemas.openxmlformats.org/drawingml/2006/picture">
                  <pic:nvPicPr>
                    <pic:cNvPr id="0" name="Picture" descr="figs/trndcmp10.png"/>
                    <pic:cNvPicPr>
                      <a:picLocks noChangeAspect="1" noChangeArrowheads="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14:paraId="3F0564C3" w14:textId="77777777" w:rsidR="007E4248" w:rsidRDefault="006466B0">
      <w:pPr>
        <w:pStyle w:val="ImageCaption"/>
      </w:pPr>
      <w:r>
        <w:t>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-slope estimates (+/- 95% confidence interval) as annual change per year within each season, with line style denoting trend significance.</w:t>
      </w:r>
    </w:p>
    <w:p w14:paraId="0A300818" w14:textId="77777777" w:rsidR="007E4248" w:rsidRDefault="006466B0">
      <w:pPr>
        <w:pStyle w:val="Heading1"/>
      </w:pPr>
      <w:bookmarkStart w:id="17" w:name="tables"/>
      <w:bookmarkEnd w:id="16"/>
      <w:r>
        <w:t>Tables</w:t>
      </w:r>
    </w:p>
    <w:p w14:paraId="6FB32954" w14:textId="77777777" w:rsidR="007E4248" w:rsidRDefault="006466B0">
      <w:pPr>
        <w:pStyle w:val="TableCaption"/>
      </w:pPr>
      <w:r>
        <w:t>Table 1: Station locations, sample sizes (from 1991 to 2019), and summary values (median, minimum, maximum) for chl-a (</w:t>
      </w:r>
      <m:oMath>
        <m:r>
          <w:rPr>
            <w:rFonts w:ascii="Cambria Math" w:hAnsi="Cambria Math"/>
          </w:rPr>
          <m:t>μ</m:t>
        </m:r>
      </m:oMath>
      <w:r>
        <w:t>g L</w:t>
      </w:r>
      <m:oMath>
        <m:sSup>
          <m:sSupPr>
            <m:ctrlPr>
              <w:rPr>
                <w:rFonts w:ascii="Cambria Math" w:hAnsi="Cambria Math"/>
              </w:rPr>
            </m:ctrlPr>
          </m:sSupPr>
          <m:e>
            <m:r>
              <w:rPr>
                <w:rFonts w:ascii="Cambria Math" w:hAnsi="Cambria Math"/>
              </w:rPr>
              <m:t>​</m:t>
            </m:r>
          </m:e>
          <m:sup>
            <m:r>
              <w:rPr>
                <w:rFonts w:ascii="Cambria Math" w:hAnsi="Cambria Math"/>
              </w:rPr>
              <m:t>-1</m:t>
            </m:r>
          </m:sup>
        </m:sSup>
      </m:oMath>
      <w:r>
        <w:t>). Stations are arranged from north to south.</w:t>
      </w:r>
    </w:p>
    <w:tbl>
      <w:tblPr>
        <w:tblW w:w="0" w:type="pct"/>
        <w:tblLook w:val="0020" w:firstRow="1" w:lastRow="0" w:firstColumn="0" w:lastColumn="0" w:noHBand="0" w:noVBand="0"/>
      </w:tblPr>
      <w:tblGrid>
        <w:gridCol w:w="897"/>
        <w:gridCol w:w="1016"/>
        <w:gridCol w:w="1203"/>
        <w:gridCol w:w="576"/>
        <w:gridCol w:w="716"/>
        <w:gridCol w:w="677"/>
        <w:gridCol w:w="756"/>
      </w:tblGrid>
      <w:tr w:rsidR="007E4248" w14:paraId="4E0A227B" w14:textId="77777777">
        <w:tc>
          <w:tcPr>
            <w:tcW w:w="0" w:type="auto"/>
          </w:tcPr>
          <w:p w14:paraId="0DF46A11" w14:textId="77777777" w:rsidR="007E4248" w:rsidRDefault="006466B0">
            <w:pPr>
              <w:pStyle w:val="Compact"/>
              <w:jc w:val="right"/>
            </w:pPr>
            <w:r>
              <w:t>Station</w:t>
            </w:r>
          </w:p>
        </w:tc>
        <w:tc>
          <w:tcPr>
            <w:tcW w:w="0" w:type="auto"/>
          </w:tcPr>
          <w:p w14:paraId="7495C219" w14:textId="77777777" w:rsidR="007E4248" w:rsidRDefault="006466B0">
            <w:pPr>
              <w:pStyle w:val="Compact"/>
              <w:jc w:val="right"/>
            </w:pPr>
            <w:r>
              <w:t>Latitude</w:t>
            </w:r>
          </w:p>
        </w:tc>
        <w:tc>
          <w:tcPr>
            <w:tcW w:w="0" w:type="auto"/>
          </w:tcPr>
          <w:p w14:paraId="30443491" w14:textId="77777777" w:rsidR="007E4248" w:rsidRDefault="006466B0">
            <w:pPr>
              <w:pStyle w:val="Compact"/>
              <w:jc w:val="right"/>
            </w:pPr>
            <w:r>
              <w:t>Longitude</w:t>
            </w:r>
          </w:p>
        </w:tc>
        <w:tc>
          <w:tcPr>
            <w:tcW w:w="0" w:type="auto"/>
          </w:tcPr>
          <w:p w14:paraId="43A15F57" w14:textId="77777777" w:rsidR="007E4248" w:rsidRDefault="006466B0">
            <w:pPr>
              <w:pStyle w:val="Compact"/>
              <w:jc w:val="right"/>
            </w:pPr>
            <w:r>
              <w:t>n</w:t>
            </w:r>
          </w:p>
        </w:tc>
        <w:tc>
          <w:tcPr>
            <w:tcW w:w="0" w:type="auto"/>
          </w:tcPr>
          <w:p w14:paraId="20D35D15" w14:textId="77777777" w:rsidR="007E4248" w:rsidRDefault="006466B0">
            <w:pPr>
              <w:pStyle w:val="Compact"/>
              <w:jc w:val="right"/>
            </w:pPr>
            <w:r>
              <w:t>Med.</w:t>
            </w:r>
          </w:p>
        </w:tc>
        <w:tc>
          <w:tcPr>
            <w:tcW w:w="0" w:type="auto"/>
          </w:tcPr>
          <w:p w14:paraId="67A6A540" w14:textId="77777777" w:rsidR="007E4248" w:rsidRDefault="006466B0">
            <w:pPr>
              <w:pStyle w:val="Compact"/>
              <w:jc w:val="right"/>
            </w:pPr>
            <w:r>
              <w:t>Min.</w:t>
            </w:r>
          </w:p>
        </w:tc>
        <w:tc>
          <w:tcPr>
            <w:tcW w:w="0" w:type="auto"/>
          </w:tcPr>
          <w:p w14:paraId="7F1E720C" w14:textId="77777777" w:rsidR="007E4248" w:rsidRDefault="006466B0">
            <w:pPr>
              <w:pStyle w:val="Compact"/>
              <w:jc w:val="right"/>
            </w:pPr>
            <w:r>
              <w:t>Max.</w:t>
            </w:r>
          </w:p>
        </w:tc>
      </w:tr>
      <w:tr w:rsidR="007E4248" w14:paraId="632C35E7" w14:textId="77777777">
        <w:tc>
          <w:tcPr>
            <w:tcW w:w="0" w:type="auto"/>
          </w:tcPr>
          <w:p w14:paraId="75D9A6B7" w14:textId="77777777" w:rsidR="007E4248" w:rsidRDefault="006466B0">
            <w:pPr>
              <w:pStyle w:val="Compact"/>
              <w:jc w:val="right"/>
            </w:pPr>
            <w:r>
              <w:t>18</w:t>
            </w:r>
          </w:p>
        </w:tc>
        <w:tc>
          <w:tcPr>
            <w:tcW w:w="0" w:type="auto"/>
          </w:tcPr>
          <w:p w14:paraId="39DDB91C" w14:textId="77777777" w:rsidR="007E4248" w:rsidRDefault="006466B0">
            <w:pPr>
              <w:pStyle w:val="Compact"/>
              <w:jc w:val="right"/>
            </w:pPr>
            <w:r>
              <w:t>37.836</w:t>
            </w:r>
          </w:p>
        </w:tc>
        <w:tc>
          <w:tcPr>
            <w:tcW w:w="0" w:type="auto"/>
          </w:tcPr>
          <w:p w14:paraId="0A13401E" w14:textId="77777777" w:rsidR="007E4248" w:rsidRDefault="006466B0">
            <w:pPr>
              <w:pStyle w:val="Compact"/>
              <w:jc w:val="right"/>
            </w:pPr>
            <w:r>
              <w:t>-122.418</w:t>
            </w:r>
          </w:p>
        </w:tc>
        <w:tc>
          <w:tcPr>
            <w:tcW w:w="0" w:type="auto"/>
          </w:tcPr>
          <w:p w14:paraId="1F8F6351" w14:textId="77777777" w:rsidR="007E4248" w:rsidRDefault="006466B0">
            <w:pPr>
              <w:pStyle w:val="Compact"/>
              <w:jc w:val="right"/>
            </w:pPr>
            <w:r>
              <w:t>414</w:t>
            </w:r>
          </w:p>
        </w:tc>
        <w:tc>
          <w:tcPr>
            <w:tcW w:w="0" w:type="auto"/>
          </w:tcPr>
          <w:p w14:paraId="5AE1D88A" w14:textId="77777777" w:rsidR="007E4248" w:rsidRDefault="006466B0">
            <w:pPr>
              <w:pStyle w:val="Compact"/>
              <w:jc w:val="right"/>
            </w:pPr>
            <w:r>
              <w:t>3.6</w:t>
            </w:r>
          </w:p>
        </w:tc>
        <w:tc>
          <w:tcPr>
            <w:tcW w:w="0" w:type="auto"/>
          </w:tcPr>
          <w:p w14:paraId="253D163A" w14:textId="77777777" w:rsidR="007E4248" w:rsidRDefault="006466B0">
            <w:pPr>
              <w:pStyle w:val="Compact"/>
              <w:jc w:val="right"/>
            </w:pPr>
            <w:r>
              <w:t>0.2</w:t>
            </w:r>
          </w:p>
        </w:tc>
        <w:tc>
          <w:tcPr>
            <w:tcW w:w="0" w:type="auto"/>
          </w:tcPr>
          <w:p w14:paraId="338A7EB8" w14:textId="77777777" w:rsidR="007E4248" w:rsidRDefault="006466B0">
            <w:pPr>
              <w:pStyle w:val="Compact"/>
              <w:jc w:val="right"/>
            </w:pPr>
            <w:r>
              <w:t>16.6</w:t>
            </w:r>
          </w:p>
        </w:tc>
      </w:tr>
      <w:tr w:rsidR="007E4248" w14:paraId="7F0BE5C9" w14:textId="77777777">
        <w:tc>
          <w:tcPr>
            <w:tcW w:w="0" w:type="auto"/>
          </w:tcPr>
          <w:p w14:paraId="321CCFB0" w14:textId="77777777" w:rsidR="007E4248" w:rsidRDefault="006466B0">
            <w:pPr>
              <w:pStyle w:val="Compact"/>
              <w:jc w:val="right"/>
            </w:pPr>
            <w:r>
              <w:t>21</w:t>
            </w:r>
          </w:p>
        </w:tc>
        <w:tc>
          <w:tcPr>
            <w:tcW w:w="0" w:type="auto"/>
          </w:tcPr>
          <w:p w14:paraId="16585494" w14:textId="77777777" w:rsidR="007E4248" w:rsidRDefault="006466B0">
            <w:pPr>
              <w:pStyle w:val="Compact"/>
              <w:jc w:val="right"/>
            </w:pPr>
            <w:r>
              <w:t>37.784</w:t>
            </w:r>
          </w:p>
        </w:tc>
        <w:tc>
          <w:tcPr>
            <w:tcW w:w="0" w:type="auto"/>
          </w:tcPr>
          <w:p w14:paraId="55B169BC" w14:textId="77777777" w:rsidR="007E4248" w:rsidRDefault="006466B0">
            <w:pPr>
              <w:pStyle w:val="Compact"/>
              <w:jc w:val="right"/>
            </w:pPr>
            <w:r>
              <w:t>-122.351</w:t>
            </w:r>
          </w:p>
        </w:tc>
        <w:tc>
          <w:tcPr>
            <w:tcW w:w="0" w:type="auto"/>
          </w:tcPr>
          <w:p w14:paraId="12324570" w14:textId="77777777" w:rsidR="007E4248" w:rsidRDefault="006466B0">
            <w:pPr>
              <w:pStyle w:val="Compact"/>
              <w:jc w:val="right"/>
            </w:pPr>
            <w:r>
              <w:t>576</w:t>
            </w:r>
          </w:p>
        </w:tc>
        <w:tc>
          <w:tcPr>
            <w:tcW w:w="0" w:type="auto"/>
          </w:tcPr>
          <w:p w14:paraId="2D9EA1FF" w14:textId="77777777" w:rsidR="007E4248" w:rsidRDefault="006466B0">
            <w:pPr>
              <w:pStyle w:val="Compact"/>
              <w:jc w:val="right"/>
            </w:pPr>
            <w:r>
              <w:t>4.4</w:t>
            </w:r>
          </w:p>
        </w:tc>
        <w:tc>
          <w:tcPr>
            <w:tcW w:w="0" w:type="auto"/>
          </w:tcPr>
          <w:p w14:paraId="39B971FA" w14:textId="77777777" w:rsidR="007E4248" w:rsidRDefault="006466B0">
            <w:pPr>
              <w:pStyle w:val="Compact"/>
              <w:jc w:val="right"/>
            </w:pPr>
            <w:r>
              <w:t>0.6</w:t>
            </w:r>
          </w:p>
        </w:tc>
        <w:tc>
          <w:tcPr>
            <w:tcW w:w="0" w:type="auto"/>
          </w:tcPr>
          <w:p w14:paraId="1A566275" w14:textId="77777777" w:rsidR="007E4248" w:rsidRDefault="006466B0">
            <w:pPr>
              <w:pStyle w:val="Compact"/>
              <w:jc w:val="right"/>
            </w:pPr>
            <w:r>
              <w:t>40.0</w:t>
            </w:r>
          </w:p>
        </w:tc>
      </w:tr>
      <w:tr w:rsidR="007E4248" w14:paraId="29F146C7" w14:textId="77777777">
        <w:tc>
          <w:tcPr>
            <w:tcW w:w="0" w:type="auto"/>
          </w:tcPr>
          <w:p w14:paraId="067B5492" w14:textId="77777777" w:rsidR="007E4248" w:rsidRDefault="006466B0">
            <w:pPr>
              <w:pStyle w:val="Compact"/>
              <w:jc w:val="right"/>
            </w:pPr>
            <w:r>
              <w:t>22</w:t>
            </w:r>
          </w:p>
        </w:tc>
        <w:tc>
          <w:tcPr>
            <w:tcW w:w="0" w:type="auto"/>
          </w:tcPr>
          <w:p w14:paraId="446824F4" w14:textId="77777777" w:rsidR="007E4248" w:rsidRDefault="006466B0">
            <w:pPr>
              <w:pStyle w:val="Compact"/>
              <w:jc w:val="right"/>
            </w:pPr>
            <w:r>
              <w:t>37.752</w:t>
            </w:r>
          </w:p>
        </w:tc>
        <w:tc>
          <w:tcPr>
            <w:tcW w:w="0" w:type="auto"/>
          </w:tcPr>
          <w:p w14:paraId="6A5E7C28" w14:textId="77777777" w:rsidR="007E4248" w:rsidRDefault="006466B0">
            <w:pPr>
              <w:pStyle w:val="Compact"/>
              <w:jc w:val="right"/>
            </w:pPr>
            <w:r>
              <w:t>-122.351</w:t>
            </w:r>
          </w:p>
        </w:tc>
        <w:tc>
          <w:tcPr>
            <w:tcW w:w="0" w:type="auto"/>
          </w:tcPr>
          <w:p w14:paraId="45CDEA5D" w14:textId="77777777" w:rsidR="007E4248" w:rsidRDefault="006466B0">
            <w:pPr>
              <w:pStyle w:val="Compact"/>
              <w:jc w:val="right"/>
            </w:pPr>
            <w:r>
              <w:t>569</w:t>
            </w:r>
          </w:p>
        </w:tc>
        <w:tc>
          <w:tcPr>
            <w:tcW w:w="0" w:type="auto"/>
          </w:tcPr>
          <w:p w14:paraId="07A4D7D7" w14:textId="77777777" w:rsidR="007E4248" w:rsidRDefault="006466B0">
            <w:pPr>
              <w:pStyle w:val="Compact"/>
              <w:jc w:val="right"/>
            </w:pPr>
            <w:r>
              <w:t>4.0</w:t>
            </w:r>
          </w:p>
        </w:tc>
        <w:tc>
          <w:tcPr>
            <w:tcW w:w="0" w:type="auto"/>
          </w:tcPr>
          <w:p w14:paraId="59F915B7" w14:textId="77777777" w:rsidR="007E4248" w:rsidRDefault="006466B0">
            <w:pPr>
              <w:pStyle w:val="Compact"/>
              <w:jc w:val="right"/>
            </w:pPr>
            <w:r>
              <w:t>0.7</w:t>
            </w:r>
          </w:p>
        </w:tc>
        <w:tc>
          <w:tcPr>
            <w:tcW w:w="0" w:type="auto"/>
          </w:tcPr>
          <w:p w14:paraId="43C2F9AD" w14:textId="77777777" w:rsidR="007E4248" w:rsidRDefault="006466B0">
            <w:pPr>
              <w:pStyle w:val="Compact"/>
              <w:jc w:val="right"/>
            </w:pPr>
            <w:r>
              <w:t>53.1</w:t>
            </w:r>
          </w:p>
        </w:tc>
      </w:tr>
      <w:tr w:rsidR="007E4248" w14:paraId="0254B823" w14:textId="77777777">
        <w:tc>
          <w:tcPr>
            <w:tcW w:w="0" w:type="auto"/>
          </w:tcPr>
          <w:p w14:paraId="28350D79" w14:textId="77777777" w:rsidR="007E4248" w:rsidRDefault="006466B0">
            <w:pPr>
              <w:pStyle w:val="Compact"/>
              <w:jc w:val="right"/>
            </w:pPr>
            <w:r>
              <w:lastRenderedPageBreak/>
              <w:t>24</w:t>
            </w:r>
          </w:p>
        </w:tc>
        <w:tc>
          <w:tcPr>
            <w:tcW w:w="0" w:type="auto"/>
          </w:tcPr>
          <w:p w14:paraId="165291E2" w14:textId="77777777" w:rsidR="007E4248" w:rsidRDefault="006466B0">
            <w:pPr>
              <w:pStyle w:val="Compact"/>
              <w:jc w:val="right"/>
            </w:pPr>
            <w:r>
              <w:t>37.686</w:t>
            </w:r>
          </w:p>
        </w:tc>
        <w:tc>
          <w:tcPr>
            <w:tcW w:w="0" w:type="auto"/>
          </w:tcPr>
          <w:p w14:paraId="78B3440B" w14:textId="77777777" w:rsidR="007E4248" w:rsidRDefault="006466B0">
            <w:pPr>
              <w:pStyle w:val="Compact"/>
              <w:jc w:val="right"/>
            </w:pPr>
            <w:r>
              <w:t>-122.334</w:t>
            </w:r>
          </w:p>
        </w:tc>
        <w:tc>
          <w:tcPr>
            <w:tcW w:w="0" w:type="auto"/>
          </w:tcPr>
          <w:p w14:paraId="10465C00" w14:textId="77777777" w:rsidR="007E4248" w:rsidRDefault="006466B0">
            <w:pPr>
              <w:pStyle w:val="Compact"/>
              <w:jc w:val="right"/>
            </w:pPr>
            <w:r>
              <w:t>595</w:t>
            </w:r>
          </w:p>
        </w:tc>
        <w:tc>
          <w:tcPr>
            <w:tcW w:w="0" w:type="auto"/>
          </w:tcPr>
          <w:p w14:paraId="7644252B" w14:textId="77777777" w:rsidR="007E4248" w:rsidRDefault="006466B0">
            <w:pPr>
              <w:pStyle w:val="Compact"/>
              <w:jc w:val="right"/>
            </w:pPr>
            <w:r>
              <w:t>4.2</w:t>
            </w:r>
          </w:p>
        </w:tc>
        <w:tc>
          <w:tcPr>
            <w:tcW w:w="0" w:type="auto"/>
          </w:tcPr>
          <w:p w14:paraId="2F52D32A" w14:textId="77777777" w:rsidR="007E4248" w:rsidRDefault="006466B0">
            <w:pPr>
              <w:pStyle w:val="Compact"/>
              <w:jc w:val="right"/>
            </w:pPr>
            <w:r>
              <w:t>0.7</w:t>
            </w:r>
          </w:p>
        </w:tc>
        <w:tc>
          <w:tcPr>
            <w:tcW w:w="0" w:type="auto"/>
          </w:tcPr>
          <w:p w14:paraId="177BC582" w14:textId="77777777" w:rsidR="007E4248" w:rsidRDefault="006466B0">
            <w:pPr>
              <w:pStyle w:val="Compact"/>
              <w:jc w:val="right"/>
            </w:pPr>
            <w:r>
              <w:t>47.3</w:t>
            </w:r>
          </w:p>
        </w:tc>
      </w:tr>
      <w:tr w:rsidR="007E4248" w14:paraId="431DAE33" w14:textId="77777777">
        <w:tc>
          <w:tcPr>
            <w:tcW w:w="0" w:type="auto"/>
          </w:tcPr>
          <w:p w14:paraId="0728DB21" w14:textId="77777777" w:rsidR="007E4248" w:rsidRDefault="006466B0">
            <w:pPr>
              <w:pStyle w:val="Compact"/>
              <w:jc w:val="right"/>
            </w:pPr>
            <w:r>
              <w:t>27</w:t>
            </w:r>
          </w:p>
        </w:tc>
        <w:tc>
          <w:tcPr>
            <w:tcW w:w="0" w:type="auto"/>
          </w:tcPr>
          <w:p w14:paraId="456B2E3F" w14:textId="77777777" w:rsidR="007E4248" w:rsidRDefault="006466B0">
            <w:pPr>
              <w:pStyle w:val="Compact"/>
              <w:jc w:val="right"/>
            </w:pPr>
            <w:r>
              <w:t>37.617</w:t>
            </w:r>
          </w:p>
        </w:tc>
        <w:tc>
          <w:tcPr>
            <w:tcW w:w="0" w:type="auto"/>
          </w:tcPr>
          <w:p w14:paraId="3BDA0CA1" w14:textId="77777777" w:rsidR="007E4248" w:rsidRDefault="006466B0">
            <w:pPr>
              <w:pStyle w:val="Compact"/>
              <w:jc w:val="right"/>
            </w:pPr>
            <w:r>
              <w:t>-122.285</w:t>
            </w:r>
          </w:p>
        </w:tc>
        <w:tc>
          <w:tcPr>
            <w:tcW w:w="0" w:type="auto"/>
          </w:tcPr>
          <w:p w14:paraId="372360AB" w14:textId="77777777" w:rsidR="007E4248" w:rsidRDefault="006466B0">
            <w:pPr>
              <w:pStyle w:val="Compact"/>
              <w:jc w:val="right"/>
            </w:pPr>
            <w:r>
              <w:t>596</w:t>
            </w:r>
          </w:p>
        </w:tc>
        <w:tc>
          <w:tcPr>
            <w:tcW w:w="0" w:type="auto"/>
          </w:tcPr>
          <w:p w14:paraId="63405457" w14:textId="77777777" w:rsidR="007E4248" w:rsidRDefault="006466B0">
            <w:pPr>
              <w:pStyle w:val="Compact"/>
              <w:jc w:val="right"/>
            </w:pPr>
            <w:r>
              <w:t>4.5</w:t>
            </w:r>
          </w:p>
        </w:tc>
        <w:tc>
          <w:tcPr>
            <w:tcW w:w="0" w:type="auto"/>
          </w:tcPr>
          <w:p w14:paraId="35F06DBD" w14:textId="77777777" w:rsidR="007E4248" w:rsidRDefault="006466B0">
            <w:pPr>
              <w:pStyle w:val="Compact"/>
              <w:jc w:val="right"/>
            </w:pPr>
            <w:r>
              <w:t>0.5</w:t>
            </w:r>
          </w:p>
        </w:tc>
        <w:tc>
          <w:tcPr>
            <w:tcW w:w="0" w:type="auto"/>
          </w:tcPr>
          <w:p w14:paraId="63AEC738" w14:textId="77777777" w:rsidR="007E4248" w:rsidRDefault="006466B0">
            <w:pPr>
              <w:pStyle w:val="Compact"/>
              <w:jc w:val="right"/>
            </w:pPr>
            <w:r>
              <w:t>50.9</w:t>
            </w:r>
          </w:p>
        </w:tc>
      </w:tr>
      <w:tr w:rsidR="007E4248" w14:paraId="74F82342" w14:textId="77777777">
        <w:tc>
          <w:tcPr>
            <w:tcW w:w="0" w:type="auto"/>
          </w:tcPr>
          <w:p w14:paraId="64B0A1DB" w14:textId="77777777" w:rsidR="007E4248" w:rsidRDefault="006466B0">
            <w:pPr>
              <w:pStyle w:val="Compact"/>
              <w:jc w:val="right"/>
            </w:pPr>
            <w:r>
              <w:t>30</w:t>
            </w:r>
          </w:p>
        </w:tc>
        <w:tc>
          <w:tcPr>
            <w:tcW w:w="0" w:type="auto"/>
          </w:tcPr>
          <w:p w14:paraId="673E4BC3" w14:textId="77777777" w:rsidR="007E4248" w:rsidRDefault="006466B0">
            <w:pPr>
              <w:pStyle w:val="Compact"/>
              <w:jc w:val="right"/>
            </w:pPr>
            <w:r>
              <w:t>37.551</w:t>
            </w:r>
          </w:p>
        </w:tc>
        <w:tc>
          <w:tcPr>
            <w:tcW w:w="0" w:type="auto"/>
          </w:tcPr>
          <w:p w14:paraId="5BED65AF" w14:textId="77777777" w:rsidR="007E4248" w:rsidRDefault="006466B0">
            <w:pPr>
              <w:pStyle w:val="Compact"/>
              <w:jc w:val="right"/>
            </w:pPr>
            <w:r>
              <w:t>-122.184</w:t>
            </w:r>
          </w:p>
        </w:tc>
        <w:tc>
          <w:tcPr>
            <w:tcW w:w="0" w:type="auto"/>
          </w:tcPr>
          <w:p w14:paraId="3D62CF5A" w14:textId="77777777" w:rsidR="007E4248" w:rsidRDefault="006466B0">
            <w:pPr>
              <w:pStyle w:val="Compact"/>
              <w:jc w:val="right"/>
            </w:pPr>
            <w:r>
              <w:t>608</w:t>
            </w:r>
          </w:p>
        </w:tc>
        <w:tc>
          <w:tcPr>
            <w:tcW w:w="0" w:type="auto"/>
          </w:tcPr>
          <w:p w14:paraId="12B9954D" w14:textId="77777777" w:rsidR="007E4248" w:rsidRDefault="006466B0">
            <w:pPr>
              <w:pStyle w:val="Compact"/>
              <w:jc w:val="right"/>
            </w:pPr>
            <w:r>
              <w:t>5.1</w:t>
            </w:r>
          </w:p>
        </w:tc>
        <w:tc>
          <w:tcPr>
            <w:tcW w:w="0" w:type="auto"/>
          </w:tcPr>
          <w:p w14:paraId="74A16A22" w14:textId="77777777" w:rsidR="007E4248" w:rsidRDefault="006466B0">
            <w:pPr>
              <w:pStyle w:val="Compact"/>
              <w:jc w:val="right"/>
            </w:pPr>
            <w:r>
              <w:t>0.8</w:t>
            </w:r>
          </w:p>
        </w:tc>
        <w:tc>
          <w:tcPr>
            <w:tcW w:w="0" w:type="auto"/>
          </w:tcPr>
          <w:p w14:paraId="6F719F46" w14:textId="77777777" w:rsidR="007E4248" w:rsidRDefault="006466B0">
            <w:pPr>
              <w:pStyle w:val="Compact"/>
              <w:jc w:val="right"/>
            </w:pPr>
            <w:r>
              <w:t>112.2</w:t>
            </w:r>
          </w:p>
        </w:tc>
      </w:tr>
      <w:tr w:rsidR="007E4248" w14:paraId="51F1C0E9" w14:textId="77777777">
        <w:tc>
          <w:tcPr>
            <w:tcW w:w="0" w:type="auto"/>
          </w:tcPr>
          <w:p w14:paraId="6E6D8B4B" w14:textId="77777777" w:rsidR="007E4248" w:rsidRDefault="006466B0">
            <w:pPr>
              <w:pStyle w:val="Compact"/>
              <w:jc w:val="right"/>
            </w:pPr>
            <w:r>
              <w:t>32</w:t>
            </w:r>
          </w:p>
        </w:tc>
        <w:tc>
          <w:tcPr>
            <w:tcW w:w="0" w:type="auto"/>
          </w:tcPr>
          <w:p w14:paraId="7B85A0DF" w14:textId="77777777" w:rsidR="007E4248" w:rsidRDefault="006466B0">
            <w:pPr>
              <w:pStyle w:val="Compact"/>
              <w:jc w:val="right"/>
            </w:pPr>
            <w:r>
              <w:t>37.517</w:t>
            </w:r>
          </w:p>
        </w:tc>
        <w:tc>
          <w:tcPr>
            <w:tcW w:w="0" w:type="auto"/>
          </w:tcPr>
          <w:p w14:paraId="5079891E" w14:textId="77777777" w:rsidR="007E4248" w:rsidRDefault="006466B0">
            <w:pPr>
              <w:pStyle w:val="Compact"/>
              <w:jc w:val="right"/>
            </w:pPr>
            <w:r>
              <w:t>-122.133</w:t>
            </w:r>
          </w:p>
        </w:tc>
        <w:tc>
          <w:tcPr>
            <w:tcW w:w="0" w:type="auto"/>
          </w:tcPr>
          <w:p w14:paraId="618E1259" w14:textId="77777777" w:rsidR="007E4248" w:rsidRDefault="006466B0">
            <w:pPr>
              <w:pStyle w:val="Compact"/>
              <w:jc w:val="right"/>
            </w:pPr>
            <w:r>
              <w:t>591</w:t>
            </w:r>
          </w:p>
        </w:tc>
        <w:tc>
          <w:tcPr>
            <w:tcW w:w="0" w:type="auto"/>
          </w:tcPr>
          <w:p w14:paraId="2262C0FE" w14:textId="77777777" w:rsidR="007E4248" w:rsidRDefault="006466B0">
            <w:pPr>
              <w:pStyle w:val="Compact"/>
              <w:jc w:val="right"/>
            </w:pPr>
            <w:r>
              <w:t>5.9</w:t>
            </w:r>
          </w:p>
        </w:tc>
        <w:tc>
          <w:tcPr>
            <w:tcW w:w="0" w:type="auto"/>
          </w:tcPr>
          <w:p w14:paraId="41928FE3" w14:textId="77777777" w:rsidR="007E4248" w:rsidRDefault="006466B0">
            <w:pPr>
              <w:pStyle w:val="Compact"/>
              <w:jc w:val="right"/>
            </w:pPr>
            <w:r>
              <w:t>0.7</w:t>
            </w:r>
          </w:p>
        </w:tc>
        <w:tc>
          <w:tcPr>
            <w:tcW w:w="0" w:type="auto"/>
          </w:tcPr>
          <w:p w14:paraId="2EA6D979" w14:textId="77777777" w:rsidR="007E4248" w:rsidRDefault="006466B0">
            <w:pPr>
              <w:pStyle w:val="Compact"/>
              <w:jc w:val="right"/>
            </w:pPr>
            <w:r>
              <w:t>282.1</w:t>
            </w:r>
          </w:p>
        </w:tc>
      </w:tr>
      <w:tr w:rsidR="007E4248" w14:paraId="79D5BB5C" w14:textId="77777777">
        <w:tc>
          <w:tcPr>
            <w:tcW w:w="0" w:type="auto"/>
          </w:tcPr>
          <w:p w14:paraId="42828F33" w14:textId="77777777" w:rsidR="007E4248" w:rsidRDefault="006466B0">
            <w:pPr>
              <w:pStyle w:val="Compact"/>
              <w:jc w:val="right"/>
            </w:pPr>
            <w:r>
              <w:t>34</w:t>
            </w:r>
          </w:p>
        </w:tc>
        <w:tc>
          <w:tcPr>
            <w:tcW w:w="0" w:type="auto"/>
          </w:tcPr>
          <w:p w14:paraId="25BC683A" w14:textId="77777777" w:rsidR="007E4248" w:rsidRDefault="006466B0">
            <w:pPr>
              <w:pStyle w:val="Compact"/>
              <w:jc w:val="right"/>
            </w:pPr>
            <w:r>
              <w:t>37.485</w:t>
            </w:r>
          </w:p>
        </w:tc>
        <w:tc>
          <w:tcPr>
            <w:tcW w:w="0" w:type="auto"/>
          </w:tcPr>
          <w:p w14:paraId="47F74499" w14:textId="77777777" w:rsidR="007E4248" w:rsidRDefault="006466B0">
            <w:pPr>
              <w:pStyle w:val="Compact"/>
              <w:jc w:val="right"/>
            </w:pPr>
            <w:r>
              <w:t>-122.086</w:t>
            </w:r>
          </w:p>
        </w:tc>
        <w:tc>
          <w:tcPr>
            <w:tcW w:w="0" w:type="auto"/>
          </w:tcPr>
          <w:p w14:paraId="740F7F04" w14:textId="77777777" w:rsidR="007E4248" w:rsidRDefault="006466B0">
            <w:pPr>
              <w:pStyle w:val="Compact"/>
              <w:jc w:val="right"/>
            </w:pPr>
            <w:r>
              <w:t>544</w:t>
            </w:r>
          </w:p>
        </w:tc>
        <w:tc>
          <w:tcPr>
            <w:tcW w:w="0" w:type="auto"/>
          </w:tcPr>
          <w:p w14:paraId="1188A9B4" w14:textId="77777777" w:rsidR="007E4248" w:rsidRDefault="006466B0">
            <w:pPr>
              <w:pStyle w:val="Compact"/>
              <w:jc w:val="right"/>
            </w:pPr>
            <w:r>
              <w:t>6.5</w:t>
            </w:r>
          </w:p>
        </w:tc>
        <w:tc>
          <w:tcPr>
            <w:tcW w:w="0" w:type="auto"/>
          </w:tcPr>
          <w:p w14:paraId="42E30B93" w14:textId="77777777" w:rsidR="007E4248" w:rsidRDefault="006466B0">
            <w:pPr>
              <w:pStyle w:val="Compact"/>
              <w:jc w:val="right"/>
            </w:pPr>
            <w:r>
              <w:t>0.6</w:t>
            </w:r>
          </w:p>
        </w:tc>
        <w:tc>
          <w:tcPr>
            <w:tcW w:w="0" w:type="auto"/>
          </w:tcPr>
          <w:p w14:paraId="1B3FCE30" w14:textId="77777777" w:rsidR="007E4248" w:rsidRDefault="006466B0">
            <w:pPr>
              <w:pStyle w:val="Compact"/>
              <w:jc w:val="right"/>
            </w:pPr>
            <w:r>
              <w:t>158.3</w:t>
            </w:r>
          </w:p>
        </w:tc>
      </w:tr>
      <w:tr w:rsidR="007E4248" w14:paraId="48BD4CD6" w14:textId="77777777">
        <w:tc>
          <w:tcPr>
            <w:tcW w:w="0" w:type="auto"/>
          </w:tcPr>
          <w:p w14:paraId="1781B3E8" w14:textId="77777777" w:rsidR="007E4248" w:rsidRDefault="006466B0">
            <w:pPr>
              <w:pStyle w:val="Compact"/>
              <w:jc w:val="right"/>
            </w:pPr>
            <w:r>
              <w:t>36</w:t>
            </w:r>
          </w:p>
        </w:tc>
        <w:tc>
          <w:tcPr>
            <w:tcW w:w="0" w:type="auto"/>
          </w:tcPr>
          <w:p w14:paraId="65DF8BF1" w14:textId="77777777" w:rsidR="007E4248" w:rsidRDefault="006466B0">
            <w:pPr>
              <w:pStyle w:val="Compact"/>
              <w:jc w:val="right"/>
            </w:pPr>
            <w:r>
              <w:t>37.468</w:t>
            </w:r>
          </w:p>
        </w:tc>
        <w:tc>
          <w:tcPr>
            <w:tcW w:w="0" w:type="auto"/>
          </w:tcPr>
          <w:p w14:paraId="4C089363" w14:textId="77777777" w:rsidR="007E4248" w:rsidRDefault="006466B0">
            <w:pPr>
              <w:pStyle w:val="Compact"/>
              <w:jc w:val="right"/>
            </w:pPr>
            <w:r>
              <w:t>-122.067</w:t>
            </w:r>
          </w:p>
        </w:tc>
        <w:tc>
          <w:tcPr>
            <w:tcW w:w="0" w:type="auto"/>
          </w:tcPr>
          <w:p w14:paraId="000B19F5" w14:textId="77777777" w:rsidR="007E4248" w:rsidRDefault="006466B0">
            <w:pPr>
              <w:pStyle w:val="Compact"/>
              <w:jc w:val="right"/>
            </w:pPr>
            <w:r>
              <w:t>476</w:t>
            </w:r>
          </w:p>
        </w:tc>
        <w:tc>
          <w:tcPr>
            <w:tcW w:w="0" w:type="auto"/>
          </w:tcPr>
          <w:p w14:paraId="44EF6913" w14:textId="77777777" w:rsidR="007E4248" w:rsidRDefault="006466B0">
            <w:pPr>
              <w:pStyle w:val="Compact"/>
              <w:jc w:val="right"/>
            </w:pPr>
            <w:r>
              <w:t>6.2</w:t>
            </w:r>
          </w:p>
        </w:tc>
        <w:tc>
          <w:tcPr>
            <w:tcW w:w="0" w:type="auto"/>
          </w:tcPr>
          <w:p w14:paraId="2F9EEA07" w14:textId="77777777" w:rsidR="007E4248" w:rsidRDefault="006466B0">
            <w:pPr>
              <w:pStyle w:val="Compact"/>
              <w:jc w:val="right"/>
            </w:pPr>
            <w:r>
              <w:t>1.1</w:t>
            </w:r>
          </w:p>
        </w:tc>
        <w:tc>
          <w:tcPr>
            <w:tcW w:w="0" w:type="auto"/>
          </w:tcPr>
          <w:p w14:paraId="7E84D3C6" w14:textId="77777777" w:rsidR="007E4248" w:rsidRDefault="006466B0">
            <w:pPr>
              <w:pStyle w:val="Compact"/>
              <w:jc w:val="right"/>
            </w:pPr>
            <w:r>
              <w:t>328.4</w:t>
            </w:r>
          </w:p>
        </w:tc>
      </w:tr>
    </w:tbl>
    <w:p w14:paraId="21399BF7" w14:textId="77777777" w:rsidR="007E4248" w:rsidRDefault="007E4248"/>
    <w:p w14:paraId="3A210DA0" w14:textId="507378F7" w:rsidR="007E4248" w:rsidRDefault="006466B0">
      <w:pPr>
        <w:pStyle w:val="TableCaption"/>
      </w:pPr>
      <w:r>
        <w:t>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w:t>
      </w:r>
    </w:p>
    <w:tbl>
      <w:tblPr>
        <w:tblW w:w="5000" w:type="pct"/>
        <w:tblLook w:val="0020" w:firstRow="1" w:lastRow="0" w:firstColumn="0" w:lastColumn="0" w:noHBand="0" w:noVBand="0"/>
      </w:tblPr>
      <w:tblGrid>
        <w:gridCol w:w="777"/>
        <w:gridCol w:w="3340"/>
        <w:gridCol w:w="5459"/>
      </w:tblGrid>
      <w:tr w:rsidR="007E4248" w14:paraId="481CFC7F" w14:textId="77777777">
        <w:tc>
          <w:tcPr>
            <w:tcW w:w="0" w:type="auto"/>
          </w:tcPr>
          <w:p w14:paraId="21148420" w14:textId="77777777" w:rsidR="007E4248" w:rsidRDefault="006466B0">
            <w:pPr>
              <w:pStyle w:val="Compact"/>
            </w:pPr>
            <w:r>
              <w:t>GAM</w:t>
            </w:r>
          </w:p>
        </w:tc>
        <w:tc>
          <w:tcPr>
            <w:tcW w:w="0" w:type="auto"/>
          </w:tcPr>
          <w:p w14:paraId="2B1D80AA" w14:textId="77777777" w:rsidR="007E4248" w:rsidRDefault="006466B0">
            <w:pPr>
              <w:pStyle w:val="Compact"/>
            </w:pPr>
            <w:r>
              <w:t>Additive components</w:t>
            </w:r>
          </w:p>
        </w:tc>
        <w:tc>
          <w:tcPr>
            <w:tcW w:w="0" w:type="auto"/>
          </w:tcPr>
          <w:p w14:paraId="25DDC6B6" w14:textId="77777777" w:rsidR="007E4248" w:rsidRDefault="006466B0">
            <w:pPr>
              <w:pStyle w:val="Compact"/>
            </w:pPr>
            <w:r>
              <w:t>Details</w:t>
            </w:r>
          </w:p>
        </w:tc>
      </w:tr>
      <w:tr w:rsidR="007E4248" w14:paraId="596641BD" w14:textId="77777777">
        <w:tc>
          <w:tcPr>
            <w:tcW w:w="0" w:type="auto"/>
          </w:tcPr>
          <w:p w14:paraId="1B0F7FD0" w14:textId="77777777" w:rsidR="007E4248" w:rsidRDefault="006466B0">
            <w:pPr>
              <w:pStyle w:val="Compact"/>
            </w:pPr>
            <w:r>
              <w:rPr>
                <w:rStyle w:val="VerbatimChar"/>
              </w:rPr>
              <w:t>S</w:t>
            </w:r>
          </w:p>
        </w:tc>
        <w:tc>
          <w:tcPr>
            <w:tcW w:w="0" w:type="auto"/>
          </w:tcPr>
          <w:p w14:paraId="3CA702B7" w14:textId="77777777" w:rsidR="007E4248" w:rsidRDefault="006466B0">
            <w:pPr>
              <w:pStyle w:val="Compact"/>
            </w:pPr>
            <w:r>
              <w:rPr>
                <w:rStyle w:val="VerbatimChar"/>
              </w:rPr>
              <w:t>f_1(cont_year)</w:t>
            </w:r>
          </w:p>
        </w:tc>
        <w:tc>
          <w:tcPr>
            <w:tcW w:w="0" w:type="auto"/>
          </w:tcPr>
          <w:p w14:paraId="6E1FEA23" w14:textId="77777777" w:rsidR="007E4248" w:rsidRDefault="006466B0">
            <w:pPr>
              <w:pStyle w:val="Compact"/>
            </w:pPr>
            <w:r>
              <w:t>A single smoother over a continuous year variable</w:t>
            </w:r>
          </w:p>
        </w:tc>
      </w:tr>
      <w:tr w:rsidR="007E4248" w14:paraId="2B4FBD05" w14:textId="77777777">
        <w:tc>
          <w:tcPr>
            <w:tcW w:w="0" w:type="auto"/>
          </w:tcPr>
          <w:p w14:paraId="42F4E7C5" w14:textId="77777777" w:rsidR="007E4248" w:rsidRDefault="006466B0">
            <w:pPr>
              <w:pStyle w:val="Compact"/>
            </w:pPr>
            <w:r>
              <w:rPr>
                <w:rStyle w:val="VerbatimChar"/>
              </w:rPr>
              <w:t>SY</w:t>
            </w:r>
          </w:p>
        </w:tc>
        <w:tc>
          <w:tcPr>
            <w:tcW w:w="0" w:type="auto"/>
          </w:tcPr>
          <w:p w14:paraId="486C50ED" w14:textId="77777777" w:rsidR="007E4248" w:rsidRDefault="006466B0">
            <w:pPr>
              <w:pStyle w:val="Compact"/>
            </w:pPr>
            <w:r>
              <w:rPr>
                <w:rStyle w:val="VerbatimChar"/>
              </w:rPr>
              <w:t>eta_0cont_year + f_1(cont_year)</w:t>
            </w:r>
          </w:p>
        </w:tc>
        <w:tc>
          <w:tcPr>
            <w:tcW w:w="0" w:type="auto"/>
          </w:tcPr>
          <w:p w14:paraId="7E695E33" w14:textId="77777777" w:rsidR="007E4248" w:rsidRDefault="006466B0">
            <w:pPr>
              <w:pStyle w:val="Compact"/>
            </w:pPr>
            <w:r>
              <w:t>A linear continuous year variable and a single smoother over a continuous year variable</w:t>
            </w:r>
          </w:p>
        </w:tc>
      </w:tr>
      <w:tr w:rsidR="007E4248" w14:paraId="16F019D8" w14:textId="77777777">
        <w:tc>
          <w:tcPr>
            <w:tcW w:w="0" w:type="auto"/>
          </w:tcPr>
          <w:p w14:paraId="2D133146" w14:textId="77777777" w:rsidR="007E4248" w:rsidRDefault="006466B0">
            <w:pPr>
              <w:pStyle w:val="Compact"/>
            </w:pPr>
            <w:r>
              <w:rPr>
                <w:rStyle w:val="VerbatimChar"/>
              </w:rPr>
              <w:t>SYD</w:t>
            </w:r>
          </w:p>
        </w:tc>
        <w:tc>
          <w:tcPr>
            <w:tcW w:w="0" w:type="auto"/>
          </w:tcPr>
          <w:p w14:paraId="545616B5" w14:textId="77777777" w:rsidR="007E4248" w:rsidRDefault="006466B0">
            <w:pPr>
              <w:pStyle w:val="Compact"/>
            </w:pPr>
            <w:r>
              <w:rPr>
                <w:rStyle w:val="VerbatimChar"/>
              </w:rPr>
              <w:t>eta_0cont_year + f_1(cont_year) + f_2(doy)</w:t>
            </w:r>
          </w:p>
        </w:tc>
        <w:tc>
          <w:tcPr>
            <w:tcW w:w="0" w:type="auto"/>
          </w:tcPr>
          <w:p w14:paraId="05B1F426" w14:textId="77777777" w:rsidR="007E4248" w:rsidRDefault="006466B0">
            <w:pPr>
              <w:pStyle w:val="Compact"/>
            </w:pPr>
            <w:r>
              <w:t>A linear continuous year variable, a smoother over a continuous year variable, and a smoother over a day of year variable</w:t>
            </w:r>
          </w:p>
        </w:tc>
      </w:tr>
      <w:tr w:rsidR="007E4248" w14:paraId="33E1C707" w14:textId="77777777">
        <w:tc>
          <w:tcPr>
            <w:tcW w:w="0" w:type="auto"/>
          </w:tcPr>
          <w:p w14:paraId="141C2440" w14:textId="77777777" w:rsidR="007E4248" w:rsidRDefault="006466B0">
            <w:pPr>
              <w:pStyle w:val="Compact"/>
            </w:pPr>
            <w:r>
              <w:rPr>
                <w:rStyle w:val="VerbatimChar"/>
              </w:rPr>
              <w:t>SYDI</w:t>
            </w:r>
          </w:p>
        </w:tc>
        <w:tc>
          <w:tcPr>
            <w:tcW w:w="0" w:type="auto"/>
          </w:tcPr>
          <w:p w14:paraId="16A7683F" w14:textId="77777777" w:rsidR="007E4248" w:rsidRDefault="006466B0">
            <w:pPr>
              <w:pStyle w:val="Compact"/>
            </w:pPr>
            <w:r>
              <w:rPr>
                <w:rStyle w:val="VerbatimChar"/>
              </w:rPr>
              <w:t>eta_0cont_year + f_1(cont_year) + f_2(doy) + f_3(cont_year, doy)</w:t>
            </w:r>
          </w:p>
        </w:tc>
        <w:tc>
          <w:tcPr>
            <w:tcW w:w="0" w:type="auto"/>
          </w:tcPr>
          <w:p w14:paraId="2F56E6D2" w14:textId="77777777" w:rsidR="007E4248" w:rsidRDefault="006466B0">
            <w:pPr>
              <w:pStyle w:val="Compact"/>
            </w:pPr>
            <w:r>
              <w:t>A linear continuous year variable, a smoother over a continuous year variable, a smoother over a day of year variable, and an interaction smoother across continuous year and day of year variables</w:t>
            </w:r>
          </w:p>
        </w:tc>
      </w:tr>
    </w:tbl>
    <w:p w14:paraId="779D2EFB" w14:textId="77777777" w:rsidR="007E4248" w:rsidRDefault="007E4248"/>
    <w:p w14:paraId="64205269" w14:textId="77777777" w:rsidR="007E4248" w:rsidRDefault="006466B0">
      <w:pPr>
        <w:pStyle w:val="TableCaption"/>
      </w:pPr>
      <w:r>
        <w:t>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W w:w="0" w:type="pct"/>
        <w:tblLook w:val="0020" w:firstRow="1" w:lastRow="0" w:firstColumn="0" w:lastColumn="0" w:noHBand="0" w:noVBand="0"/>
      </w:tblPr>
      <w:tblGrid>
        <w:gridCol w:w="816"/>
        <w:gridCol w:w="956"/>
        <w:gridCol w:w="723"/>
        <w:gridCol w:w="636"/>
        <w:gridCol w:w="1876"/>
        <w:gridCol w:w="876"/>
        <w:gridCol w:w="636"/>
        <w:gridCol w:w="710"/>
      </w:tblGrid>
      <w:tr w:rsidR="007E4248" w14:paraId="3E0DF786" w14:textId="77777777">
        <w:tc>
          <w:tcPr>
            <w:tcW w:w="0" w:type="auto"/>
          </w:tcPr>
          <w:p w14:paraId="47067078" w14:textId="77777777" w:rsidR="007E4248" w:rsidRDefault="006466B0">
            <w:pPr>
              <w:pStyle w:val="Compact"/>
            </w:pPr>
            <w:r>
              <w:t>model</w:t>
            </w:r>
          </w:p>
        </w:tc>
        <w:tc>
          <w:tcPr>
            <w:tcW w:w="0" w:type="auto"/>
          </w:tcPr>
          <w:p w14:paraId="5D157BC4" w14:textId="77777777" w:rsidR="007E4248" w:rsidRDefault="006466B0">
            <w:pPr>
              <w:pStyle w:val="Compact"/>
            </w:pPr>
            <w:r>
              <w:t>AIC</w:t>
            </w:r>
          </w:p>
        </w:tc>
        <w:tc>
          <w:tcPr>
            <w:tcW w:w="0" w:type="auto"/>
          </w:tcPr>
          <w:p w14:paraId="1C39F5AE" w14:textId="77777777" w:rsidR="007E4248" w:rsidRDefault="006466B0">
            <w:pPr>
              <w:pStyle w:val="Compact"/>
            </w:pPr>
            <w:r>
              <w:t>GCV</w:t>
            </w:r>
          </w:p>
        </w:tc>
        <w:tc>
          <w:tcPr>
            <w:tcW w:w="0" w:type="auto"/>
          </w:tcPr>
          <w:p w14:paraId="7692E821" w14:textId="77777777" w:rsidR="007E4248" w:rsidRDefault="006466B0">
            <w:pPr>
              <w:pStyle w:val="Compact"/>
            </w:pPr>
            <w:r>
              <w:t>R2</w:t>
            </w:r>
          </w:p>
        </w:tc>
        <w:tc>
          <w:tcPr>
            <w:tcW w:w="0" w:type="auto"/>
          </w:tcPr>
          <w:p w14:paraId="7CE0249C" w14:textId="77777777" w:rsidR="007E4248" w:rsidRDefault="006466B0">
            <w:pPr>
              <w:pStyle w:val="Compact"/>
            </w:pPr>
            <w:r>
              <w:t>smoother</w:t>
            </w:r>
          </w:p>
        </w:tc>
        <w:tc>
          <w:tcPr>
            <w:tcW w:w="0" w:type="auto"/>
          </w:tcPr>
          <w:p w14:paraId="3DE960CB" w14:textId="77777777" w:rsidR="007E4248" w:rsidRDefault="006466B0">
            <w:pPr>
              <w:pStyle w:val="Compact"/>
              <w:jc w:val="right"/>
            </w:pPr>
            <w:r>
              <w:t>edf</w:t>
            </w:r>
          </w:p>
        </w:tc>
        <w:tc>
          <w:tcPr>
            <w:tcW w:w="0" w:type="auto"/>
          </w:tcPr>
          <w:p w14:paraId="3D3329C8" w14:textId="77777777" w:rsidR="007E4248" w:rsidRDefault="006466B0">
            <w:pPr>
              <w:pStyle w:val="Compact"/>
              <w:jc w:val="right"/>
            </w:pPr>
            <w:r>
              <w:t>F</w:t>
            </w:r>
          </w:p>
        </w:tc>
        <w:tc>
          <w:tcPr>
            <w:tcW w:w="0" w:type="auto"/>
          </w:tcPr>
          <w:p w14:paraId="6ED6B5EB" w14:textId="77777777" w:rsidR="007E4248" w:rsidRDefault="006466B0">
            <w:pPr>
              <w:pStyle w:val="Compact"/>
            </w:pPr>
            <w:r>
              <w:t>p-val</w:t>
            </w:r>
          </w:p>
        </w:tc>
      </w:tr>
      <w:tr w:rsidR="007E4248" w14:paraId="2A4215FD" w14:textId="77777777">
        <w:tc>
          <w:tcPr>
            <w:tcW w:w="0" w:type="auto"/>
          </w:tcPr>
          <w:p w14:paraId="38DDB2F6" w14:textId="77777777" w:rsidR="007E4248" w:rsidRDefault="006466B0">
            <w:pPr>
              <w:pStyle w:val="Compact"/>
            </w:pPr>
            <w:r>
              <w:t>S</w:t>
            </w:r>
          </w:p>
        </w:tc>
        <w:tc>
          <w:tcPr>
            <w:tcW w:w="0" w:type="auto"/>
          </w:tcPr>
          <w:p w14:paraId="2C2754B2" w14:textId="77777777" w:rsidR="007E4248" w:rsidRDefault="006466B0">
            <w:pPr>
              <w:pStyle w:val="Compact"/>
            </w:pPr>
            <w:r>
              <w:t>-138.2</w:t>
            </w:r>
          </w:p>
        </w:tc>
        <w:tc>
          <w:tcPr>
            <w:tcW w:w="0" w:type="auto"/>
          </w:tcPr>
          <w:p w14:paraId="7BE8F585" w14:textId="77777777" w:rsidR="007E4248" w:rsidRDefault="006466B0">
            <w:pPr>
              <w:pStyle w:val="Compact"/>
            </w:pPr>
            <w:r>
              <w:t>0.06</w:t>
            </w:r>
          </w:p>
        </w:tc>
        <w:tc>
          <w:tcPr>
            <w:tcW w:w="0" w:type="auto"/>
          </w:tcPr>
          <w:p w14:paraId="331FECBF" w14:textId="77777777" w:rsidR="007E4248" w:rsidRDefault="006466B0">
            <w:pPr>
              <w:pStyle w:val="Compact"/>
            </w:pPr>
            <w:r>
              <w:t>0.74</w:t>
            </w:r>
          </w:p>
        </w:tc>
        <w:tc>
          <w:tcPr>
            <w:tcW w:w="0" w:type="auto"/>
          </w:tcPr>
          <w:p w14:paraId="6ACA37EC" w14:textId="77777777" w:rsidR="007E4248" w:rsidRDefault="006466B0">
            <w:pPr>
              <w:pStyle w:val="Compact"/>
            </w:pPr>
            <w:r>
              <w:t>s(cont_year)</w:t>
            </w:r>
          </w:p>
        </w:tc>
        <w:tc>
          <w:tcPr>
            <w:tcW w:w="0" w:type="auto"/>
          </w:tcPr>
          <w:p w14:paraId="6AD03F16" w14:textId="77777777" w:rsidR="007E4248" w:rsidRDefault="006466B0">
            <w:pPr>
              <w:pStyle w:val="Compact"/>
              <w:jc w:val="right"/>
            </w:pPr>
            <w:r>
              <w:t>242.23</w:t>
            </w:r>
          </w:p>
        </w:tc>
        <w:tc>
          <w:tcPr>
            <w:tcW w:w="0" w:type="auto"/>
          </w:tcPr>
          <w:p w14:paraId="52110DA0" w14:textId="77777777" w:rsidR="007E4248" w:rsidRDefault="006466B0">
            <w:pPr>
              <w:pStyle w:val="Compact"/>
              <w:jc w:val="right"/>
            </w:pPr>
            <w:r>
              <w:t>6.27</w:t>
            </w:r>
          </w:p>
        </w:tc>
        <w:tc>
          <w:tcPr>
            <w:tcW w:w="0" w:type="auto"/>
          </w:tcPr>
          <w:p w14:paraId="73449CD9" w14:textId="77777777" w:rsidR="007E4248" w:rsidRDefault="006466B0">
            <w:pPr>
              <w:pStyle w:val="Compact"/>
            </w:pPr>
            <w:r>
              <w:t>**</w:t>
            </w:r>
          </w:p>
        </w:tc>
      </w:tr>
      <w:tr w:rsidR="007E4248" w14:paraId="23C3623F" w14:textId="77777777">
        <w:tc>
          <w:tcPr>
            <w:tcW w:w="0" w:type="auto"/>
          </w:tcPr>
          <w:p w14:paraId="445246C7" w14:textId="77777777" w:rsidR="007E4248" w:rsidRDefault="006466B0">
            <w:pPr>
              <w:pStyle w:val="Compact"/>
            </w:pPr>
            <w:r>
              <w:t>SY</w:t>
            </w:r>
          </w:p>
        </w:tc>
        <w:tc>
          <w:tcPr>
            <w:tcW w:w="0" w:type="auto"/>
          </w:tcPr>
          <w:p w14:paraId="23721F27" w14:textId="77777777" w:rsidR="007E4248" w:rsidRDefault="006466B0">
            <w:pPr>
              <w:pStyle w:val="Compact"/>
            </w:pPr>
            <w:r>
              <w:t>-138.2</w:t>
            </w:r>
          </w:p>
        </w:tc>
        <w:tc>
          <w:tcPr>
            <w:tcW w:w="0" w:type="auto"/>
          </w:tcPr>
          <w:p w14:paraId="6C21F35B" w14:textId="77777777" w:rsidR="007E4248" w:rsidRDefault="006466B0">
            <w:pPr>
              <w:pStyle w:val="Compact"/>
            </w:pPr>
            <w:r>
              <w:t>0.06</w:t>
            </w:r>
          </w:p>
        </w:tc>
        <w:tc>
          <w:tcPr>
            <w:tcW w:w="0" w:type="auto"/>
          </w:tcPr>
          <w:p w14:paraId="6D81E23E" w14:textId="77777777" w:rsidR="007E4248" w:rsidRDefault="006466B0">
            <w:pPr>
              <w:pStyle w:val="Compact"/>
            </w:pPr>
            <w:r>
              <w:t>0.74</w:t>
            </w:r>
          </w:p>
        </w:tc>
        <w:tc>
          <w:tcPr>
            <w:tcW w:w="0" w:type="auto"/>
          </w:tcPr>
          <w:p w14:paraId="2AD14BDA" w14:textId="77777777" w:rsidR="007E4248" w:rsidRDefault="006466B0">
            <w:pPr>
              <w:pStyle w:val="Compact"/>
            </w:pPr>
            <w:r>
              <w:t>s(cont_year)</w:t>
            </w:r>
          </w:p>
        </w:tc>
        <w:tc>
          <w:tcPr>
            <w:tcW w:w="0" w:type="auto"/>
          </w:tcPr>
          <w:p w14:paraId="3A57B041" w14:textId="77777777" w:rsidR="007E4248" w:rsidRDefault="006466B0">
            <w:pPr>
              <w:pStyle w:val="Compact"/>
              <w:jc w:val="right"/>
            </w:pPr>
            <w:r>
              <w:t>242.23</w:t>
            </w:r>
          </w:p>
        </w:tc>
        <w:tc>
          <w:tcPr>
            <w:tcW w:w="0" w:type="auto"/>
          </w:tcPr>
          <w:p w14:paraId="51118115" w14:textId="77777777" w:rsidR="007E4248" w:rsidRDefault="006466B0">
            <w:pPr>
              <w:pStyle w:val="Compact"/>
              <w:jc w:val="right"/>
            </w:pPr>
            <w:r>
              <w:t>6.27</w:t>
            </w:r>
          </w:p>
        </w:tc>
        <w:tc>
          <w:tcPr>
            <w:tcW w:w="0" w:type="auto"/>
          </w:tcPr>
          <w:p w14:paraId="2791E9CF" w14:textId="77777777" w:rsidR="007E4248" w:rsidRDefault="006466B0">
            <w:pPr>
              <w:pStyle w:val="Compact"/>
            </w:pPr>
            <w:r>
              <w:t>**</w:t>
            </w:r>
          </w:p>
        </w:tc>
      </w:tr>
      <w:tr w:rsidR="007E4248" w14:paraId="7CB08325" w14:textId="77777777">
        <w:tc>
          <w:tcPr>
            <w:tcW w:w="0" w:type="auto"/>
          </w:tcPr>
          <w:p w14:paraId="199CDFA2" w14:textId="77777777" w:rsidR="007E4248" w:rsidRDefault="006466B0">
            <w:pPr>
              <w:pStyle w:val="Compact"/>
            </w:pPr>
            <w:r>
              <w:t>SYD</w:t>
            </w:r>
          </w:p>
        </w:tc>
        <w:tc>
          <w:tcPr>
            <w:tcW w:w="0" w:type="auto"/>
          </w:tcPr>
          <w:p w14:paraId="323C0E0A" w14:textId="77777777" w:rsidR="007E4248" w:rsidRDefault="006466B0">
            <w:pPr>
              <w:pStyle w:val="Compact"/>
            </w:pPr>
            <w:r>
              <w:t>-135.66</w:t>
            </w:r>
          </w:p>
        </w:tc>
        <w:tc>
          <w:tcPr>
            <w:tcW w:w="0" w:type="auto"/>
          </w:tcPr>
          <w:p w14:paraId="44F35459" w14:textId="77777777" w:rsidR="007E4248" w:rsidRDefault="006466B0">
            <w:pPr>
              <w:pStyle w:val="Compact"/>
            </w:pPr>
            <w:r>
              <w:t>0.06</w:t>
            </w:r>
          </w:p>
        </w:tc>
        <w:tc>
          <w:tcPr>
            <w:tcW w:w="0" w:type="auto"/>
          </w:tcPr>
          <w:p w14:paraId="45F7B572" w14:textId="77777777" w:rsidR="007E4248" w:rsidRDefault="006466B0">
            <w:pPr>
              <w:pStyle w:val="Compact"/>
            </w:pPr>
            <w:r>
              <w:t>0.74</w:t>
            </w:r>
          </w:p>
        </w:tc>
        <w:tc>
          <w:tcPr>
            <w:tcW w:w="0" w:type="auto"/>
          </w:tcPr>
          <w:p w14:paraId="4AF8AB75" w14:textId="77777777" w:rsidR="007E4248" w:rsidRDefault="006466B0">
            <w:pPr>
              <w:pStyle w:val="Compact"/>
            </w:pPr>
            <w:r>
              <w:t>s(cont_year)</w:t>
            </w:r>
          </w:p>
        </w:tc>
        <w:tc>
          <w:tcPr>
            <w:tcW w:w="0" w:type="auto"/>
          </w:tcPr>
          <w:p w14:paraId="40D68790" w14:textId="77777777" w:rsidR="007E4248" w:rsidRDefault="006466B0">
            <w:pPr>
              <w:pStyle w:val="Compact"/>
              <w:jc w:val="right"/>
            </w:pPr>
            <w:r>
              <w:t>229.33</w:t>
            </w:r>
          </w:p>
        </w:tc>
        <w:tc>
          <w:tcPr>
            <w:tcW w:w="0" w:type="auto"/>
          </w:tcPr>
          <w:p w14:paraId="011B73E9" w14:textId="77777777" w:rsidR="007E4248" w:rsidRDefault="006466B0">
            <w:pPr>
              <w:pStyle w:val="Compact"/>
              <w:jc w:val="right"/>
            </w:pPr>
            <w:r>
              <w:t>3.88</w:t>
            </w:r>
          </w:p>
        </w:tc>
        <w:tc>
          <w:tcPr>
            <w:tcW w:w="0" w:type="auto"/>
          </w:tcPr>
          <w:p w14:paraId="153A67E5" w14:textId="77777777" w:rsidR="007E4248" w:rsidRDefault="006466B0">
            <w:pPr>
              <w:pStyle w:val="Compact"/>
            </w:pPr>
            <w:r>
              <w:t>**</w:t>
            </w:r>
          </w:p>
        </w:tc>
      </w:tr>
      <w:tr w:rsidR="007E4248" w14:paraId="4CE91919" w14:textId="77777777">
        <w:tc>
          <w:tcPr>
            <w:tcW w:w="0" w:type="auto"/>
          </w:tcPr>
          <w:p w14:paraId="1AA42EAC" w14:textId="77777777" w:rsidR="007E4248" w:rsidRDefault="007E4248"/>
        </w:tc>
        <w:tc>
          <w:tcPr>
            <w:tcW w:w="0" w:type="auto"/>
          </w:tcPr>
          <w:p w14:paraId="279F40E5" w14:textId="77777777" w:rsidR="007E4248" w:rsidRDefault="007E4248"/>
        </w:tc>
        <w:tc>
          <w:tcPr>
            <w:tcW w:w="0" w:type="auto"/>
          </w:tcPr>
          <w:p w14:paraId="238964D0" w14:textId="77777777" w:rsidR="007E4248" w:rsidRDefault="007E4248"/>
        </w:tc>
        <w:tc>
          <w:tcPr>
            <w:tcW w:w="0" w:type="auto"/>
          </w:tcPr>
          <w:p w14:paraId="68ED4E4F" w14:textId="77777777" w:rsidR="007E4248" w:rsidRDefault="007E4248"/>
        </w:tc>
        <w:tc>
          <w:tcPr>
            <w:tcW w:w="0" w:type="auto"/>
          </w:tcPr>
          <w:p w14:paraId="72E2293A" w14:textId="77777777" w:rsidR="007E4248" w:rsidRDefault="006466B0">
            <w:pPr>
              <w:pStyle w:val="Compact"/>
            </w:pPr>
            <w:r>
              <w:t>s(doy)</w:t>
            </w:r>
          </w:p>
        </w:tc>
        <w:tc>
          <w:tcPr>
            <w:tcW w:w="0" w:type="auto"/>
          </w:tcPr>
          <w:p w14:paraId="695491ED" w14:textId="77777777" w:rsidR="007E4248" w:rsidRDefault="006466B0">
            <w:pPr>
              <w:pStyle w:val="Compact"/>
              <w:jc w:val="right"/>
            </w:pPr>
            <w:r>
              <w:t>8.07</w:t>
            </w:r>
          </w:p>
        </w:tc>
        <w:tc>
          <w:tcPr>
            <w:tcW w:w="0" w:type="auto"/>
          </w:tcPr>
          <w:p w14:paraId="6C6F14AD" w14:textId="77777777" w:rsidR="007E4248" w:rsidRDefault="006466B0">
            <w:pPr>
              <w:pStyle w:val="Compact"/>
              <w:jc w:val="right"/>
            </w:pPr>
            <w:r>
              <w:t>0.11</w:t>
            </w:r>
          </w:p>
        </w:tc>
        <w:tc>
          <w:tcPr>
            <w:tcW w:w="0" w:type="auto"/>
          </w:tcPr>
          <w:p w14:paraId="7C791A0B" w14:textId="77777777" w:rsidR="007E4248" w:rsidRDefault="006466B0">
            <w:pPr>
              <w:pStyle w:val="Compact"/>
            </w:pPr>
            <w:r>
              <w:t>**</w:t>
            </w:r>
          </w:p>
        </w:tc>
      </w:tr>
      <w:tr w:rsidR="007E4248" w14:paraId="77B53948" w14:textId="77777777">
        <w:tc>
          <w:tcPr>
            <w:tcW w:w="0" w:type="auto"/>
          </w:tcPr>
          <w:p w14:paraId="2574ACB9" w14:textId="77777777" w:rsidR="007E4248" w:rsidRDefault="006466B0">
            <w:pPr>
              <w:pStyle w:val="Compact"/>
            </w:pPr>
            <w:r>
              <w:t>SYDI</w:t>
            </w:r>
          </w:p>
        </w:tc>
        <w:tc>
          <w:tcPr>
            <w:tcW w:w="0" w:type="auto"/>
          </w:tcPr>
          <w:p w14:paraId="08130A7B" w14:textId="77777777" w:rsidR="007E4248" w:rsidRDefault="006466B0">
            <w:pPr>
              <w:pStyle w:val="Compact"/>
            </w:pPr>
            <w:r>
              <w:t>-123.57</w:t>
            </w:r>
          </w:p>
        </w:tc>
        <w:tc>
          <w:tcPr>
            <w:tcW w:w="0" w:type="auto"/>
          </w:tcPr>
          <w:p w14:paraId="5D85B8EB" w14:textId="77777777" w:rsidR="007E4248" w:rsidRDefault="006466B0">
            <w:pPr>
              <w:pStyle w:val="Compact"/>
            </w:pPr>
            <w:r>
              <w:t>0.06</w:t>
            </w:r>
          </w:p>
        </w:tc>
        <w:tc>
          <w:tcPr>
            <w:tcW w:w="0" w:type="auto"/>
          </w:tcPr>
          <w:p w14:paraId="6E13FDF6" w14:textId="77777777" w:rsidR="007E4248" w:rsidRDefault="006466B0">
            <w:pPr>
              <w:pStyle w:val="Compact"/>
            </w:pPr>
            <w:r>
              <w:t>0.73</w:t>
            </w:r>
          </w:p>
        </w:tc>
        <w:tc>
          <w:tcPr>
            <w:tcW w:w="0" w:type="auto"/>
          </w:tcPr>
          <w:p w14:paraId="1002CA78" w14:textId="77777777" w:rsidR="007E4248" w:rsidRDefault="006466B0">
            <w:pPr>
              <w:pStyle w:val="Compact"/>
            </w:pPr>
            <w:r>
              <w:t>s(cont_year)</w:t>
            </w:r>
          </w:p>
        </w:tc>
        <w:tc>
          <w:tcPr>
            <w:tcW w:w="0" w:type="auto"/>
          </w:tcPr>
          <w:p w14:paraId="561E1A0F" w14:textId="77777777" w:rsidR="007E4248" w:rsidRDefault="006466B0">
            <w:pPr>
              <w:pStyle w:val="Compact"/>
              <w:jc w:val="right"/>
            </w:pPr>
            <w:r>
              <w:t>136.88</w:t>
            </w:r>
          </w:p>
        </w:tc>
        <w:tc>
          <w:tcPr>
            <w:tcW w:w="0" w:type="auto"/>
          </w:tcPr>
          <w:p w14:paraId="5BDAA1B1" w14:textId="77777777" w:rsidR="007E4248" w:rsidRDefault="006466B0">
            <w:pPr>
              <w:pStyle w:val="Compact"/>
              <w:jc w:val="right"/>
            </w:pPr>
            <w:r>
              <w:t>3.13</w:t>
            </w:r>
          </w:p>
        </w:tc>
        <w:tc>
          <w:tcPr>
            <w:tcW w:w="0" w:type="auto"/>
          </w:tcPr>
          <w:p w14:paraId="6D79E0E2" w14:textId="77777777" w:rsidR="007E4248" w:rsidRDefault="006466B0">
            <w:pPr>
              <w:pStyle w:val="Compact"/>
            </w:pPr>
            <w:r>
              <w:t>**</w:t>
            </w:r>
          </w:p>
        </w:tc>
      </w:tr>
      <w:tr w:rsidR="007E4248" w14:paraId="6816D9DB" w14:textId="77777777">
        <w:tc>
          <w:tcPr>
            <w:tcW w:w="0" w:type="auto"/>
          </w:tcPr>
          <w:p w14:paraId="7E6370AB" w14:textId="77777777" w:rsidR="007E4248" w:rsidRDefault="007E4248"/>
        </w:tc>
        <w:tc>
          <w:tcPr>
            <w:tcW w:w="0" w:type="auto"/>
          </w:tcPr>
          <w:p w14:paraId="47E65784" w14:textId="77777777" w:rsidR="007E4248" w:rsidRDefault="007E4248"/>
        </w:tc>
        <w:tc>
          <w:tcPr>
            <w:tcW w:w="0" w:type="auto"/>
          </w:tcPr>
          <w:p w14:paraId="6AB8457B" w14:textId="77777777" w:rsidR="007E4248" w:rsidRDefault="007E4248"/>
        </w:tc>
        <w:tc>
          <w:tcPr>
            <w:tcW w:w="0" w:type="auto"/>
          </w:tcPr>
          <w:p w14:paraId="3A4E7A6B" w14:textId="77777777" w:rsidR="007E4248" w:rsidRDefault="007E4248"/>
        </w:tc>
        <w:tc>
          <w:tcPr>
            <w:tcW w:w="0" w:type="auto"/>
          </w:tcPr>
          <w:p w14:paraId="6FBB2293" w14:textId="77777777" w:rsidR="007E4248" w:rsidRDefault="006466B0">
            <w:pPr>
              <w:pStyle w:val="Compact"/>
            </w:pPr>
            <w:r>
              <w:t>s(doy)</w:t>
            </w:r>
          </w:p>
        </w:tc>
        <w:tc>
          <w:tcPr>
            <w:tcW w:w="0" w:type="auto"/>
          </w:tcPr>
          <w:p w14:paraId="792A5B15" w14:textId="77777777" w:rsidR="007E4248" w:rsidRDefault="006466B0">
            <w:pPr>
              <w:pStyle w:val="Compact"/>
              <w:jc w:val="right"/>
            </w:pPr>
            <w:r>
              <w:t>9.54</w:t>
            </w:r>
          </w:p>
        </w:tc>
        <w:tc>
          <w:tcPr>
            <w:tcW w:w="0" w:type="auto"/>
          </w:tcPr>
          <w:p w14:paraId="68F5343B" w14:textId="77777777" w:rsidR="007E4248" w:rsidRDefault="006466B0">
            <w:pPr>
              <w:pStyle w:val="Compact"/>
              <w:jc w:val="right"/>
            </w:pPr>
            <w:r>
              <w:t>0.79</w:t>
            </w:r>
          </w:p>
        </w:tc>
        <w:tc>
          <w:tcPr>
            <w:tcW w:w="0" w:type="auto"/>
          </w:tcPr>
          <w:p w14:paraId="21E1A22A" w14:textId="77777777" w:rsidR="007E4248" w:rsidRDefault="006466B0">
            <w:pPr>
              <w:pStyle w:val="Compact"/>
            </w:pPr>
            <w:r>
              <w:t>**</w:t>
            </w:r>
          </w:p>
        </w:tc>
      </w:tr>
      <w:tr w:rsidR="007E4248" w14:paraId="64EAC39A" w14:textId="77777777">
        <w:tc>
          <w:tcPr>
            <w:tcW w:w="0" w:type="auto"/>
          </w:tcPr>
          <w:p w14:paraId="4FB09407" w14:textId="77777777" w:rsidR="007E4248" w:rsidRDefault="007E4248"/>
        </w:tc>
        <w:tc>
          <w:tcPr>
            <w:tcW w:w="0" w:type="auto"/>
          </w:tcPr>
          <w:p w14:paraId="442BB8D8" w14:textId="77777777" w:rsidR="007E4248" w:rsidRDefault="007E4248"/>
        </w:tc>
        <w:tc>
          <w:tcPr>
            <w:tcW w:w="0" w:type="auto"/>
          </w:tcPr>
          <w:p w14:paraId="5C5F0A50" w14:textId="77777777" w:rsidR="007E4248" w:rsidRDefault="007E4248"/>
        </w:tc>
        <w:tc>
          <w:tcPr>
            <w:tcW w:w="0" w:type="auto"/>
          </w:tcPr>
          <w:p w14:paraId="451B82B8" w14:textId="77777777" w:rsidR="007E4248" w:rsidRDefault="007E4248"/>
        </w:tc>
        <w:tc>
          <w:tcPr>
            <w:tcW w:w="0" w:type="auto"/>
          </w:tcPr>
          <w:p w14:paraId="4B7296A6" w14:textId="77777777" w:rsidR="007E4248" w:rsidRDefault="006466B0">
            <w:pPr>
              <w:pStyle w:val="Compact"/>
            </w:pPr>
            <w:r>
              <w:t>ti(cont_year,doy)</w:t>
            </w:r>
          </w:p>
        </w:tc>
        <w:tc>
          <w:tcPr>
            <w:tcW w:w="0" w:type="auto"/>
          </w:tcPr>
          <w:p w14:paraId="060A34ED" w14:textId="77777777" w:rsidR="007E4248" w:rsidRDefault="006466B0">
            <w:pPr>
              <w:pStyle w:val="Compact"/>
              <w:jc w:val="right"/>
            </w:pPr>
            <w:r>
              <w:t>69.31</w:t>
            </w:r>
          </w:p>
        </w:tc>
        <w:tc>
          <w:tcPr>
            <w:tcW w:w="0" w:type="auto"/>
          </w:tcPr>
          <w:p w14:paraId="509D1AAC" w14:textId="77777777" w:rsidR="007E4248" w:rsidRDefault="006466B0">
            <w:pPr>
              <w:pStyle w:val="Compact"/>
              <w:jc w:val="right"/>
            </w:pPr>
            <w:r>
              <w:t>0.74</w:t>
            </w:r>
          </w:p>
        </w:tc>
        <w:tc>
          <w:tcPr>
            <w:tcW w:w="0" w:type="auto"/>
          </w:tcPr>
          <w:p w14:paraId="361529A1" w14:textId="77777777" w:rsidR="007E4248" w:rsidRDefault="006466B0">
            <w:pPr>
              <w:pStyle w:val="Compact"/>
            </w:pPr>
            <w:r>
              <w:t>**</w:t>
            </w:r>
          </w:p>
        </w:tc>
      </w:tr>
    </w:tbl>
    <w:p w14:paraId="1D5EDB0A" w14:textId="77777777" w:rsidR="007E4248" w:rsidRDefault="007E4248"/>
    <w:p w14:paraId="5B05DE48" w14:textId="77777777" w:rsidR="007E4248" w:rsidRDefault="006466B0">
      <w:pPr>
        <w:pStyle w:val="TableCaption"/>
      </w:pPr>
      <w:r>
        <w:t>Table 4: Model performance statistics for each station as Akaike Information Criterion scores (AIC), generalized cross-validation scores (GCV), and r-squared values.</w:t>
      </w:r>
    </w:p>
    <w:tbl>
      <w:tblPr>
        <w:tblW w:w="0" w:type="pct"/>
        <w:tblLook w:val="0020" w:firstRow="1" w:lastRow="0" w:firstColumn="0" w:lastColumn="0" w:noHBand="0" w:noVBand="0"/>
      </w:tblPr>
      <w:tblGrid>
        <w:gridCol w:w="856"/>
        <w:gridCol w:w="956"/>
        <w:gridCol w:w="723"/>
        <w:gridCol w:w="1203"/>
      </w:tblGrid>
      <w:tr w:rsidR="007E4248" w14:paraId="3D777DC0" w14:textId="77777777">
        <w:tc>
          <w:tcPr>
            <w:tcW w:w="0" w:type="auto"/>
          </w:tcPr>
          <w:p w14:paraId="0B2D4D39" w14:textId="77777777" w:rsidR="007E4248" w:rsidRDefault="006466B0">
            <w:pPr>
              <w:pStyle w:val="Compact"/>
            </w:pPr>
            <w:r>
              <w:t>station</w:t>
            </w:r>
          </w:p>
        </w:tc>
        <w:tc>
          <w:tcPr>
            <w:tcW w:w="0" w:type="auto"/>
          </w:tcPr>
          <w:p w14:paraId="63F827BF" w14:textId="77777777" w:rsidR="007E4248" w:rsidRDefault="006466B0">
            <w:pPr>
              <w:pStyle w:val="Compact"/>
              <w:jc w:val="right"/>
            </w:pPr>
            <w:r>
              <w:t>AIC</w:t>
            </w:r>
          </w:p>
        </w:tc>
        <w:tc>
          <w:tcPr>
            <w:tcW w:w="0" w:type="auto"/>
          </w:tcPr>
          <w:p w14:paraId="4219B263" w14:textId="77777777" w:rsidR="007E4248" w:rsidRDefault="006466B0">
            <w:pPr>
              <w:pStyle w:val="Compact"/>
              <w:jc w:val="right"/>
            </w:pPr>
            <w:r>
              <w:t>GCV</w:t>
            </w:r>
          </w:p>
        </w:tc>
        <w:tc>
          <w:tcPr>
            <w:tcW w:w="0" w:type="auto"/>
          </w:tcPr>
          <w:p w14:paraId="6EDD5E4C" w14:textId="77777777" w:rsidR="007E4248" w:rsidRDefault="006466B0">
            <w:pPr>
              <w:pStyle w:val="Compact"/>
              <w:jc w:val="right"/>
            </w:pPr>
            <w:r>
              <w:t>R-squared</w:t>
            </w:r>
          </w:p>
        </w:tc>
      </w:tr>
      <w:tr w:rsidR="007E4248" w14:paraId="0E8CE55F" w14:textId="77777777">
        <w:tc>
          <w:tcPr>
            <w:tcW w:w="0" w:type="auto"/>
          </w:tcPr>
          <w:p w14:paraId="2C1FF735" w14:textId="77777777" w:rsidR="007E4248" w:rsidRDefault="006466B0">
            <w:pPr>
              <w:pStyle w:val="Compact"/>
            </w:pPr>
            <w:r>
              <w:t>18</w:t>
            </w:r>
          </w:p>
        </w:tc>
        <w:tc>
          <w:tcPr>
            <w:tcW w:w="0" w:type="auto"/>
          </w:tcPr>
          <w:p w14:paraId="615B7887" w14:textId="77777777" w:rsidR="007E4248" w:rsidRDefault="006466B0">
            <w:pPr>
              <w:pStyle w:val="Compact"/>
              <w:jc w:val="right"/>
            </w:pPr>
            <w:r>
              <w:t>-430.94</w:t>
            </w:r>
          </w:p>
        </w:tc>
        <w:tc>
          <w:tcPr>
            <w:tcW w:w="0" w:type="auto"/>
          </w:tcPr>
          <w:p w14:paraId="0D2BCFCD" w14:textId="77777777" w:rsidR="007E4248" w:rsidRDefault="006466B0">
            <w:pPr>
              <w:pStyle w:val="Compact"/>
              <w:jc w:val="right"/>
            </w:pPr>
            <w:r>
              <w:t>0.04</w:t>
            </w:r>
          </w:p>
        </w:tc>
        <w:tc>
          <w:tcPr>
            <w:tcW w:w="0" w:type="auto"/>
          </w:tcPr>
          <w:p w14:paraId="64CFAF81" w14:textId="77777777" w:rsidR="007E4248" w:rsidRDefault="006466B0">
            <w:pPr>
              <w:pStyle w:val="Compact"/>
              <w:jc w:val="right"/>
            </w:pPr>
            <w:r>
              <w:t>0.78</w:t>
            </w:r>
          </w:p>
        </w:tc>
      </w:tr>
      <w:tr w:rsidR="007E4248" w14:paraId="2E67E01D" w14:textId="77777777">
        <w:tc>
          <w:tcPr>
            <w:tcW w:w="0" w:type="auto"/>
          </w:tcPr>
          <w:p w14:paraId="4E482A81" w14:textId="77777777" w:rsidR="007E4248" w:rsidRDefault="006466B0">
            <w:pPr>
              <w:pStyle w:val="Compact"/>
            </w:pPr>
            <w:r>
              <w:t>21</w:t>
            </w:r>
          </w:p>
        </w:tc>
        <w:tc>
          <w:tcPr>
            <w:tcW w:w="0" w:type="auto"/>
          </w:tcPr>
          <w:p w14:paraId="41936B28" w14:textId="77777777" w:rsidR="007E4248" w:rsidRDefault="006466B0">
            <w:pPr>
              <w:pStyle w:val="Compact"/>
              <w:jc w:val="right"/>
            </w:pPr>
            <w:r>
              <w:t>-305.93</w:t>
            </w:r>
          </w:p>
        </w:tc>
        <w:tc>
          <w:tcPr>
            <w:tcW w:w="0" w:type="auto"/>
          </w:tcPr>
          <w:p w14:paraId="4F82C4A2" w14:textId="77777777" w:rsidR="007E4248" w:rsidRDefault="006466B0">
            <w:pPr>
              <w:pStyle w:val="Compact"/>
              <w:jc w:val="right"/>
            </w:pPr>
            <w:r>
              <w:t>0.04</w:t>
            </w:r>
          </w:p>
        </w:tc>
        <w:tc>
          <w:tcPr>
            <w:tcW w:w="0" w:type="auto"/>
          </w:tcPr>
          <w:p w14:paraId="66BE524A" w14:textId="77777777" w:rsidR="007E4248" w:rsidRDefault="006466B0">
            <w:pPr>
              <w:pStyle w:val="Compact"/>
              <w:jc w:val="right"/>
            </w:pPr>
            <w:r>
              <w:t>0.70</w:t>
            </w:r>
          </w:p>
        </w:tc>
      </w:tr>
      <w:tr w:rsidR="007E4248" w14:paraId="02961898" w14:textId="77777777">
        <w:tc>
          <w:tcPr>
            <w:tcW w:w="0" w:type="auto"/>
          </w:tcPr>
          <w:p w14:paraId="620D7C58" w14:textId="77777777" w:rsidR="007E4248" w:rsidRDefault="006466B0">
            <w:pPr>
              <w:pStyle w:val="Compact"/>
            </w:pPr>
            <w:r>
              <w:t>22</w:t>
            </w:r>
          </w:p>
        </w:tc>
        <w:tc>
          <w:tcPr>
            <w:tcW w:w="0" w:type="auto"/>
          </w:tcPr>
          <w:p w14:paraId="3A682492" w14:textId="77777777" w:rsidR="007E4248" w:rsidRDefault="006466B0">
            <w:pPr>
              <w:pStyle w:val="Compact"/>
              <w:jc w:val="right"/>
            </w:pPr>
            <w:r>
              <w:t>-160.07</w:t>
            </w:r>
          </w:p>
        </w:tc>
        <w:tc>
          <w:tcPr>
            <w:tcW w:w="0" w:type="auto"/>
          </w:tcPr>
          <w:p w14:paraId="484FBE65" w14:textId="77777777" w:rsidR="007E4248" w:rsidRDefault="006466B0">
            <w:pPr>
              <w:pStyle w:val="Compact"/>
              <w:jc w:val="right"/>
            </w:pPr>
            <w:r>
              <w:t>0.05</w:t>
            </w:r>
          </w:p>
        </w:tc>
        <w:tc>
          <w:tcPr>
            <w:tcW w:w="0" w:type="auto"/>
          </w:tcPr>
          <w:p w14:paraId="3647FBDD" w14:textId="77777777" w:rsidR="007E4248" w:rsidRDefault="006466B0">
            <w:pPr>
              <w:pStyle w:val="Compact"/>
              <w:jc w:val="right"/>
            </w:pPr>
            <w:r>
              <w:t>0.59</w:t>
            </w:r>
          </w:p>
        </w:tc>
      </w:tr>
      <w:tr w:rsidR="007E4248" w14:paraId="1FCED629" w14:textId="77777777">
        <w:tc>
          <w:tcPr>
            <w:tcW w:w="0" w:type="auto"/>
          </w:tcPr>
          <w:p w14:paraId="533A2163" w14:textId="77777777" w:rsidR="007E4248" w:rsidRDefault="006466B0">
            <w:pPr>
              <w:pStyle w:val="Compact"/>
            </w:pPr>
            <w:r>
              <w:t>24</w:t>
            </w:r>
          </w:p>
        </w:tc>
        <w:tc>
          <w:tcPr>
            <w:tcW w:w="0" w:type="auto"/>
          </w:tcPr>
          <w:p w14:paraId="781FA636" w14:textId="77777777" w:rsidR="007E4248" w:rsidRDefault="006466B0">
            <w:pPr>
              <w:pStyle w:val="Compact"/>
              <w:jc w:val="right"/>
            </w:pPr>
            <w:r>
              <w:t>-250.77</w:t>
            </w:r>
          </w:p>
        </w:tc>
        <w:tc>
          <w:tcPr>
            <w:tcW w:w="0" w:type="auto"/>
          </w:tcPr>
          <w:p w14:paraId="71384EE4" w14:textId="77777777" w:rsidR="007E4248" w:rsidRDefault="006466B0">
            <w:pPr>
              <w:pStyle w:val="Compact"/>
              <w:jc w:val="right"/>
            </w:pPr>
            <w:r>
              <w:t>0.04</w:t>
            </w:r>
          </w:p>
        </w:tc>
        <w:tc>
          <w:tcPr>
            <w:tcW w:w="0" w:type="auto"/>
          </w:tcPr>
          <w:p w14:paraId="1837629D" w14:textId="77777777" w:rsidR="007E4248" w:rsidRDefault="006466B0">
            <w:pPr>
              <w:pStyle w:val="Compact"/>
              <w:jc w:val="right"/>
            </w:pPr>
            <w:r>
              <w:t>0.69</w:t>
            </w:r>
          </w:p>
        </w:tc>
      </w:tr>
      <w:tr w:rsidR="007E4248" w14:paraId="20BAA63A" w14:textId="77777777">
        <w:tc>
          <w:tcPr>
            <w:tcW w:w="0" w:type="auto"/>
          </w:tcPr>
          <w:p w14:paraId="5CFAB46A" w14:textId="77777777" w:rsidR="007E4248" w:rsidRDefault="006466B0">
            <w:pPr>
              <w:pStyle w:val="Compact"/>
            </w:pPr>
            <w:r>
              <w:t>27</w:t>
            </w:r>
          </w:p>
        </w:tc>
        <w:tc>
          <w:tcPr>
            <w:tcW w:w="0" w:type="auto"/>
          </w:tcPr>
          <w:p w14:paraId="18E83854" w14:textId="77777777" w:rsidR="007E4248" w:rsidRDefault="006466B0">
            <w:pPr>
              <w:pStyle w:val="Compact"/>
              <w:jc w:val="right"/>
            </w:pPr>
            <w:r>
              <w:t>-188.72</w:t>
            </w:r>
          </w:p>
        </w:tc>
        <w:tc>
          <w:tcPr>
            <w:tcW w:w="0" w:type="auto"/>
          </w:tcPr>
          <w:p w14:paraId="1FC59E9F" w14:textId="77777777" w:rsidR="007E4248" w:rsidRDefault="006466B0">
            <w:pPr>
              <w:pStyle w:val="Compact"/>
              <w:jc w:val="right"/>
            </w:pPr>
            <w:r>
              <w:t>0.05</w:t>
            </w:r>
          </w:p>
        </w:tc>
        <w:tc>
          <w:tcPr>
            <w:tcW w:w="0" w:type="auto"/>
          </w:tcPr>
          <w:p w14:paraId="7B6304C3" w14:textId="77777777" w:rsidR="007E4248" w:rsidRDefault="006466B0">
            <w:pPr>
              <w:pStyle w:val="Compact"/>
              <w:jc w:val="right"/>
            </w:pPr>
            <w:r>
              <w:t>0.72</w:t>
            </w:r>
          </w:p>
        </w:tc>
      </w:tr>
      <w:tr w:rsidR="007E4248" w14:paraId="6D655392" w14:textId="77777777">
        <w:tc>
          <w:tcPr>
            <w:tcW w:w="0" w:type="auto"/>
          </w:tcPr>
          <w:p w14:paraId="3387BC70" w14:textId="77777777" w:rsidR="007E4248" w:rsidRDefault="006466B0">
            <w:pPr>
              <w:pStyle w:val="Compact"/>
            </w:pPr>
            <w:r>
              <w:t>30</w:t>
            </w:r>
          </w:p>
        </w:tc>
        <w:tc>
          <w:tcPr>
            <w:tcW w:w="0" w:type="auto"/>
          </w:tcPr>
          <w:p w14:paraId="7954E575" w14:textId="77777777" w:rsidR="007E4248" w:rsidRDefault="006466B0">
            <w:pPr>
              <w:pStyle w:val="Compact"/>
              <w:jc w:val="right"/>
            </w:pPr>
            <w:r>
              <w:t>-172.79</w:t>
            </w:r>
          </w:p>
        </w:tc>
        <w:tc>
          <w:tcPr>
            <w:tcW w:w="0" w:type="auto"/>
          </w:tcPr>
          <w:p w14:paraId="48F3B25D" w14:textId="77777777" w:rsidR="007E4248" w:rsidRDefault="006466B0">
            <w:pPr>
              <w:pStyle w:val="Compact"/>
              <w:jc w:val="right"/>
            </w:pPr>
            <w:r>
              <w:t>0.05</w:t>
            </w:r>
          </w:p>
        </w:tc>
        <w:tc>
          <w:tcPr>
            <w:tcW w:w="0" w:type="auto"/>
          </w:tcPr>
          <w:p w14:paraId="480E732D" w14:textId="77777777" w:rsidR="007E4248" w:rsidRDefault="006466B0">
            <w:pPr>
              <w:pStyle w:val="Compact"/>
              <w:jc w:val="right"/>
            </w:pPr>
            <w:r>
              <w:t>0.74</w:t>
            </w:r>
          </w:p>
        </w:tc>
      </w:tr>
      <w:tr w:rsidR="007E4248" w14:paraId="261E2226" w14:textId="77777777">
        <w:tc>
          <w:tcPr>
            <w:tcW w:w="0" w:type="auto"/>
          </w:tcPr>
          <w:p w14:paraId="6343FA27" w14:textId="77777777" w:rsidR="007E4248" w:rsidRDefault="006466B0">
            <w:pPr>
              <w:pStyle w:val="Compact"/>
            </w:pPr>
            <w:r>
              <w:t>32</w:t>
            </w:r>
          </w:p>
        </w:tc>
        <w:tc>
          <w:tcPr>
            <w:tcW w:w="0" w:type="auto"/>
          </w:tcPr>
          <w:p w14:paraId="41E09C95" w14:textId="77777777" w:rsidR="007E4248" w:rsidRDefault="006466B0">
            <w:pPr>
              <w:pStyle w:val="Compact"/>
              <w:jc w:val="right"/>
            </w:pPr>
            <w:r>
              <w:t>-138.20</w:t>
            </w:r>
          </w:p>
        </w:tc>
        <w:tc>
          <w:tcPr>
            <w:tcW w:w="0" w:type="auto"/>
          </w:tcPr>
          <w:p w14:paraId="60E3E7FA" w14:textId="77777777" w:rsidR="007E4248" w:rsidRDefault="006466B0">
            <w:pPr>
              <w:pStyle w:val="Compact"/>
              <w:jc w:val="right"/>
            </w:pPr>
            <w:r>
              <w:t>0.06</w:t>
            </w:r>
          </w:p>
        </w:tc>
        <w:tc>
          <w:tcPr>
            <w:tcW w:w="0" w:type="auto"/>
          </w:tcPr>
          <w:p w14:paraId="22475895" w14:textId="77777777" w:rsidR="007E4248" w:rsidRDefault="006466B0">
            <w:pPr>
              <w:pStyle w:val="Compact"/>
              <w:jc w:val="right"/>
            </w:pPr>
            <w:r>
              <w:t>0.74</w:t>
            </w:r>
          </w:p>
        </w:tc>
      </w:tr>
      <w:tr w:rsidR="007E4248" w14:paraId="01E4BB28" w14:textId="77777777">
        <w:tc>
          <w:tcPr>
            <w:tcW w:w="0" w:type="auto"/>
          </w:tcPr>
          <w:p w14:paraId="6D10D35C" w14:textId="77777777" w:rsidR="007E4248" w:rsidRDefault="006466B0">
            <w:pPr>
              <w:pStyle w:val="Compact"/>
            </w:pPr>
            <w:r>
              <w:t>34</w:t>
            </w:r>
          </w:p>
        </w:tc>
        <w:tc>
          <w:tcPr>
            <w:tcW w:w="0" w:type="auto"/>
          </w:tcPr>
          <w:p w14:paraId="39895C2B" w14:textId="77777777" w:rsidR="007E4248" w:rsidRDefault="006466B0">
            <w:pPr>
              <w:pStyle w:val="Compact"/>
              <w:jc w:val="right"/>
            </w:pPr>
            <w:r>
              <w:t>-3.17</w:t>
            </w:r>
          </w:p>
        </w:tc>
        <w:tc>
          <w:tcPr>
            <w:tcW w:w="0" w:type="auto"/>
          </w:tcPr>
          <w:p w14:paraId="65A1BF40" w14:textId="77777777" w:rsidR="007E4248" w:rsidRDefault="006466B0">
            <w:pPr>
              <w:pStyle w:val="Compact"/>
              <w:jc w:val="right"/>
            </w:pPr>
            <w:r>
              <w:t>0.07</w:t>
            </w:r>
          </w:p>
        </w:tc>
        <w:tc>
          <w:tcPr>
            <w:tcW w:w="0" w:type="auto"/>
          </w:tcPr>
          <w:p w14:paraId="0932EE18" w14:textId="77777777" w:rsidR="007E4248" w:rsidRDefault="006466B0">
            <w:pPr>
              <w:pStyle w:val="Compact"/>
              <w:jc w:val="right"/>
            </w:pPr>
            <w:r>
              <w:t>0.68</w:t>
            </w:r>
          </w:p>
        </w:tc>
      </w:tr>
      <w:tr w:rsidR="007E4248" w14:paraId="75A0E085" w14:textId="77777777">
        <w:tc>
          <w:tcPr>
            <w:tcW w:w="0" w:type="auto"/>
          </w:tcPr>
          <w:p w14:paraId="3EEC95FE" w14:textId="77777777" w:rsidR="007E4248" w:rsidRDefault="006466B0">
            <w:pPr>
              <w:pStyle w:val="Compact"/>
            </w:pPr>
            <w:r>
              <w:t>36</w:t>
            </w:r>
          </w:p>
        </w:tc>
        <w:tc>
          <w:tcPr>
            <w:tcW w:w="0" w:type="auto"/>
          </w:tcPr>
          <w:p w14:paraId="15430E6A" w14:textId="77777777" w:rsidR="007E4248" w:rsidRDefault="006466B0">
            <w:pPr>
              <w:pStyle w:val="Compact"/>
              <w:jc w:val="right"/>
            </w:pPr>
            <w:r>
              <w:t>-22.05</w:t>
            </w:r>
          </w:p>
        </w:tc>
        <w:tc>
          <w:tcPr>
            <w:tcW w:w="0" w:type="auto"/>
          </w:tcPr>
          <w:p w14:paraId="488CBA85" w14:textId="77777777" w:rsidR="007E4248" w:rsidRDefault="006466B0">
            <w:pPr>
              <w:pStyle w:val="Compact"/>
              <w:jc w:val="right"/>
            </w:pPr>
            <w:r>
              <w:t>0.07</w:t>
            </w:r>
          </w:p>
        </w:tc>
        <w:tc>
          <w:tcPr>
            <w:tcW w:w="0" w:type="auto"/>
          </w:tcPr>
          <w:p w14:paraId="59DC5B21" w14:textId="77777777" w:rsidR="007E4248" w:rsidRDefault="006466B0">
            <w:pPr>
              <w:pStyle w:val="Compact"/>
              <w:jc w:val="right"/>
            </w:pPr>
            <w:r>
              <w:t>0.73</w:t>
            </w:r>
          </w:p>
        </w:tc>
      </w:tr>
    </w:tbl>
    <w:p w14:paraId="37D23EDC" w14:textId="77777777" w:rsidR="007E4248" w:rsidRDefault="006466B0">
      <w:pPr>
        <w:pStyle w:val="Heading1"/>
      </w:pPr>
      <w:bookmarkStart w:id="18" w:name="references"/>
      <w:bookmarkEnd w:id="17"/>
      <w:r>
        <w:t>References</w:t>
      </w:r>
    </w:p>
    <w:p w14:paraId="17C2512C" w14:textId="77777777" w:rsidR="007E4248" w:rsidRDefault="006466B0">
      <w:pPr>
        <w:pStyle w:val="Bibliography"/>
      </w:pPr>
      <w:bookmarkStart w:id="19" w:name="ref-Alpine88"/>
      <w:bookmarkStart w:id="20" w:name="refs"/>
      <w:r>
        <w:t>Alpine, A.E., Cloern, J.E., 1988. Phytoplankton growth rates in a light-limited environment, San Francisco Bay. Marine Ecology Progress Series 44, 167–173.</w:t>
      </w:r>
    </w:p>
    <w:p w14:paraId="14B0B0E5" w14:textId="77777777" w:rsidR="007E4248" w:rsidRDefault="006466B0">
      <w:pPr>
        <w:pStyle w:val="Bibliography"/>
      </w:pPr>
      <w:bookmarkStart w:id="21" w:name="ref-Beck21"/>
      <w:bookmarkEnd w:id="19"/>
      <w:r>
        <w:t>Beck, M.W., de Valpine, P., Murpy, R., Wren, I., Chelsky, A., Foley, M., Senn, D., 2021. tbep-tech/wqtrends: v1.1.0 (Version v1.1.0). Zenodo. http://doi.org/10.5281/zenodo.4509638.</w:t>
      </w:r>
    </w:p>
    <w:p w14:paraId="597F059A" w14:textId="77777777" w:rsidR="007E4248" w:rsidRDefault="006466B0">
      <w:pPr>
        <w:pStyle w:val="Bibliography"/>
      </w:pPr>
      <w:bookmarkStart w:id="22" w:name="ref-Beck15"/>
      <w:bookmarkEnd w:id="21"/>
      <w:r>
        <w:t xml:space="preserve">Beck, M.W., Hagy, J.D., III, 2015. Adaptation of a weighted regression approach to evaluate water quality trends in an estuary. Environmental Modelling and Assessment 20, 637–655. </w:t>
      </w:r>
      <w:hyperlink r:id="rId24">
        <w:r>
          <w:rPr>
            <w:rStyle w:val="Hyperlink"/>
          </w:rPr>
          <w:t>https://doi.org/10.1007/s10666-015-9452-8</w:t>
        </w:r>
      </w:hyperlink>
    </w:p>
    <w:p w14:paraId="7906B890" w14:textId="77777777" w:rsidR="007E4248" w:rsidRDefault="006466B0">
      <w:pPr>
        <w:pStyle w:val="Bibliography"/>
      </w:pPr>
      <w:bookmarkStart w:id="23" w:name="ref-Beck18b"/>
      <w:bookmarkEnd w:id="22"/>
      <w:r>
        <w:t xml:space="preserve">Beck, M.W., Jabusch, T.W., Trowbridge, P.R., Senn, D.B., 2018. Four decades of water quality change in the upper San Francisco Estuary. Estuarine, Coastal and Shelf Science 212, 11–22. </w:t>
      </w:r>
      <w:hyperlink r:id="rId25">
        <w:r>
          <w:rPr>
            <w:rStyle w:val="Hyperlink"/>
          </w:rPr>
          <w:t>https://doi.org/10.1016/j.ecss.2018.06.021</w:t>
        </w:r>
      </w:hyperlink>
    </w:p>
    <w:p w14:paraId="11E3616E" w14:textId="77777777" w:rsidR="007E4248" w:rsidRDefault="006466B0">
      <w:pPr>
        <w:pStyle w:val="Bibliography"/>
      </w:pPr>
      <w:bookmarkStart w:id="24" w:name="ref-Beck17"/>
      <w:bookmarkEnd w:id="23"/>
      <w:r>
        <w:t xml:space="preserve">Beck, M.W., Murphy, R.R., 2017. Numerical and qualitative contrasts of two statistical models for water quality change in tidal waters. Journal of the American Water Resources Association 53, 197–219. </w:t>
      </w:r>
      <w:hyperlink r:id="rId26">
        <w:r>
          <w:rPr>
            <w:rStyle w:val="Hyperlink"/>
          </w:rPr>
          <w:t>https://doi.org/10.1111/1752-1688.12489</w:t>
        </w:r>
      </w:hyperlink>
    </w:p>
    <w:p w14:paraId="5B1D68D7" w14:textId="77777777" w:rsidR="007E4248" w:rsidRDefault="006466B0">
      <w:pPr>
        <w:pStyle w:val="Bibliography"/>
      </w:pPr>
      <w:bookmarkStart w:id="25" w:name="ref-Cleveland90"/>
      <w:bookmarkEnd w:id="24"/>
      <w:r>
        <w:t>Cleveland, R.B., Cleveland, W.S., McRae, J.E., Terpenning, I., 1990. STL: A seasonal-trend decomposition procedure based on Loess. Journal of Official Statistics 6, 3–73.</w:t>
      </w:r>
    </w:p>
    <w:p w14:paraId="124BDC92" w14:textId="77777777" w:rsidR="007E4248" w:rsidRDefault="006466B0">
      <w:pPr>
        <w:pStyle w:val="Bibliography"/>
      </w:pPr>
      <w:bookmarkStart w:id="26" w:name="ref-Cloern12"/>
      <w:bookmarkEnd w:id="25"/>
      <w:r>
        <w:t xml:space="preserve">Cloern, J.E., Jassby, A.D., 2012. Drivers of change in estuarine-coastal ecosystems: Discoveries from four decades of study in San Francisco Bay. Reviews of Geophysics 50. </w:t>
      </w:r>
      <w:hyperlink r:id="rId27">
        <w:r>
          <w:rPr>
            <w:rStyle w:val="Hyperlink"/>
          </w:rPr>
          <w:t>https://doi.org/10.1029/2012RG000397</w:t>
        </w:r>
      </w:hyperlink>
    </w:p>
    <w:p w14:paraId="03598610" w14:textId="77777777" w:rsidR="007E4248" w:rsidRDefault="006466B0">
      <w:pPr>
        <w:pStyle w:val="Bibliography"/>
      </w:pPr>
      <w:bookmarkStart w:id="27" w:name="ref-Cloern10"/>
      <w:bookmarkEnd w:id="26"/>
      <w:r>
        <w:t>Cloern, J.E., Jassby, A.D., 2010. Patterns and scales of phytoplankton variability in estuarine-coastal ecosystems. Estuaries and Coasts 33, 230–241.</w:t>
      </w:r>
    </w:p>
    <w:p w14:paraId="1C78D00F" w14:textId="77777777" w:rsidR="007E4248" w:rsidRDefault="006466B0">
      <w:pPr>
        <w:pStyle w:val="Bibliography"/>
      </w:pPr>
      <w:bookmarkStart w:id="28" w:name="ref-Cloern07"/>
      <w:bookmarkEnd w:id="27"/>
      <w:r>
        <w:lastRenderedPageBreak/>
        <w:t>Cloern, J.E., Jassby, A.D., Thompson, J.K., Hieb, K.A., 2007. A cold phase of the East Pacific triggers new phytoplankton blooms in San Francisco Bay. Proceedings of the National Academy of Sciences of the United States of America 104, 18561–18565.</w:t>
      </w:r>
    </w:p>
    <w:p w14:paraId="61D2846C" w14:textId="77777777" w:rsidR="007E4248" w:rsidRDefault="006466B0">
      <w:pPr>
        <w:pStyle w:val="Bibliography"/>
      </w:pPr>
      <w:bookmarkStart w:id="29" w:name="ref-Cloern16"/>
      <w:bookmarkEnd w:id="28"/>
      <w:r>
        <w:t>Cloern, J.E., Schraga, T.S., 2016. USGS measurements of water quality in San Francisco Bay (CA), 1969-2015: U.S. Geological Survey data release. https://doi.org/10.5066/F7TQ5ZPR.</w:t>
      </w:r>
    </w:p>
    <w:p w14:paraId="642F0D2E" w14:textId="77777777" w:rsidR="007E4248" w:rsidRDefault="006466B0">
      <w:pPr>
        <w:pStyle w:val="Bibliography"/>
      </w:pPr>
      <w:bookmarkStart w:id="30" w:name="ref-Cloern20"/>
      <w:bookmarkEnd w:id="29"/>
      <w:r>
        <w:t xml:space="preserve">Cloern, J.E., Shcraga, T.S., Nejad, E., Martin, C., 2020. Nutrient status of San Francisco Bay and its management implications. Estuaries &amp; Coasts 43, 1299–1317. </w:t>
      </w:r>
      <w:hyperlink r:id="rId28">
        <w:r>
          <w:rPr>
            <w:rStyle w:val="Hyperlink"/>
          </w:rPr>
          <w:t>https://doi.org/10.1007/s12237-020-00737-w</w:t>
        </w:r>
      </w:hyperlink>
    </w:p>
    <w:p w14:paraId="7C1997C4" w14:textId="77777777" w:rsidR="007E4248" w:rsidRDefault="006466B0">
      <w:pPr>
        <w:pStyle w:val="Bibliography"/>
      </w:pPr>
      <w:bookmarkStart w:id="31" w:name="ref-Cole84"/>
      <w:bookmarkEnd w:id="30"/>
      <w:r>
        <w:t>Cole, B.E., Cloern, J.E., 1984. Significance of biomass and light availability to phytoplankton productivity in San Francisco Bay. Marine Ecology Progress Series 17, 15–24.</w:t>
      </w:r>
    </w:p>
    <w:p w14:paraId="7CE03648" w14:textId="77777777" w:rsidR="007E4248" w:rsidRDefault="006466B0">
      <w:pPr>
        <w:pStyle w:val="Bibliography"/>
      </w:pPr>
      <w:bookmarkStart w:id="32" w:name="ref-Cumming06"/>
      <w:bookmarkEnd w:id="31"/>
      <w:r>
        <w:t>Cumming, G.S., Cumming, D.H.M., Redman, C.L., 2006. Scale mismatches in social-ecological systems: Causes, consequences, and solutions. Ecology and Society 11, 14.</w:t>
      </w:r>
    </w:p>
    <w:p w14:paraId="408F6091" w14:textId="77777777" w:rsidR="007E4248" w:rsidRDefault="006466B0">
      <w:pPr>
        <w:pStyle w:val="Bibliography"/>
      </w:pPr>
      <w:bookmarkStart w:id="33" w:name="ref-Forbes18"/>
      <w:bookmarkEnd w:id="32"/>
      <w:r>
        <w:t xml:space="preserve">Forbes, D.J., Xie, Z., 2018. Identifying process scales in the Indian River Lagoon, Florida using wavelet transform analysis of dissolved oxygen. Ecological Complexity 36, 149–167. </w:t>
      </w:r>
      <w:hyperlink r:id="rId29">
        <w:r>
          <w:rPr>
            <w:rStyle w:val="Hyperlink"/>
          </w:rPr>
          <w:t>https://doi.org/10.1016/j.ecocom.2018.07.005</w:t>
        </w:r>
      </w:hyperlink>
    </w:p>
    <w:p w14:paraId="5778709E" w14:textId="77777777" w:rsidR="007E4248" w:rsidRDefault="006466B0">
      <w:pPr>
        <w:pStyle w:val="Bibliography"/>
      </w:pPr>
      <w:bookmarkStart w:id="34" w:name="ref-Gasparrini12"/>
      <w:bookmarkEnd w:id="33"/>
      <w:r>
        <w:t xml:space="preserve">Gasparrini, A., Armstrong, B., Kenward, M.G., 2012. Multivariate meta-analysis for non-linear and other multi-parameter associations. Statistics in Medicine 31, 3821–3839. </w:t>
      </w:r>
      <w:hyperlink r:id="rId30">
        <w:r>
          <w:rPr>
            <w:rStyle w:val="Hyperlink"/>
          </w:rPr>
          <w:t>https://doi.org/10.1002/sim.5471</w:t>
        </w:r>
      </w:hyperlink>
    </w:p>
    <w:p w14:paraId="4285445A" w14:textId="77777777" w:rsidR="007E4248" w:rsidRDefault="006466B0">
      <w:pPr>
        <w:pStyle w:val="Bibliography"/>
      </w:pPr>
      <w:bookmarkStart w:id="35" w:name="ref-Hafen10"/>
      <w:bookmarkEnd w:id="34"/>
      <w:r>
        <w:t>Hafen, R.P., 2010. Local regression models: Advancements, applications, and new methods (PhD thesis). Purdue University, West Lafayette, Indiana.</w:t>
      </w:r>
    </w:p>
    <w:p w14:paraId="0D9BFA34" w14:textId="77777777" w:rsidR="007E4248" w:rsidRDefault="006466B0">
      <w:pPr>
        <w:pStyle w:val="Bibliography"/>
      </w:pPr>
      <w:bookmarkStart w:id="36" w:name="ref-Haraguchi15"/>
      <w:bookmarkEnd w:id="35"/>
      <w:r>
        <w:t>Haraguchi, L., Carstensen, J., Abreu, P.C., Odebrecht, C., 2015. Long-term changes of the phytoplankton community and biomass in the subtropical shallow Patos Lagoon Estuary, Brazil. Estuarine, Coastal and Shelf Science 162, 76–87.</w:t>
      </w:r>
    </w:p>
    <w:p w14:paraId="33DA57A3" w14:textId="77777777" w:rsidR="007E4248" w:rsidRDefault="006466B0">
      <w:pPr>
        <w:pStyle w:val="Bibliography"/>
      </w:pPr>
      <w:bookmarkStart w:id="37" w:name="ref-He06"/>
      <w:bookmarkEnd w:id="36"/>
      <w:r>
        <w:t xml:space="preserve">He, S., Mazumdar, S., Arena, V.C., 2006. A comparative study of the use of GAM and GLM in air pollution research. Environmetrics 17, 81–93. </w:t>
      </w:r>
      <w:hyperlink r:id="rId31">
        <w:r>
          <w:rPr>
            <w:rStyle w:val="Hyperlink"/>
          </w:rPr>
          <w:t>https://doi.org/10.1002/env.751</w:t>
        </w:r>
      </w:hyperlink>
    </w:p>
    <w:p w14:paraId="5A60CB46" w14:textId="77777777" w:rsidR="007E4248" w:rsidRDefault="006466B0">
      <w:pPr>
        <w:pStyle w:val="Bibliography"/>
      </w:pPr>
      <w:bookmarkStart w:id="38" w:name="ref-Helsel20"/>
      <w:bookmarkEnd w:id="37"/>
      <w:r>
        <w:t>Helsel, D.R., Hirsch, R.M., Ryberg, K.R., Archfield, S.A., Gilroy, E.J., 2020. Statistical methods in water resources, 2nd ed. U.S. Geological Survey Techniques; Methods, book 4, chapter A3, version 1.1, Reston, Virginia.</w:t>
      </w:r>
    </w:p>
    <w:p w14:paraId="4E632C13" w14:textId="77777777" w:rsidR="007E4248" w:rsidRDefault="006466B0">
      <w:pPr>
        <w:pStyle w:val="Bibliography"/>
      </w:pPr>
      <w:bookmarkStart w:id="39" w:name="ref-Hirsch15"/>
      <w:bookmarkEnd w:id="38"/>
      <w:r>
        <w:t xml:space="preserve">Hirsch, R.M., Archfield, S.A., De Cicco, L.A., 2015. A bootstrap method for estimating uncertainty of water quality trends. Environmental Modelling and Software 73, 148–166. </w:t>
      </w:r>
      <w:hyperlink r:id="rId32">
        <w:r>
          <w:rPr>
            <w:rStyle w:val="Hyperlink"/>
          </w:rPr>
          <w:t>https://doi.org/10.1016/j.envsoft.2015.07.017</w:t>
        </w:r>
      </w:hyperlink>
    </w:p>
    <w:p w14:paraId="4D9EA11B" w14:textId="77777777" w:rsidR="007E4248" w:rsidRDefault="006466B0">
      <w:pPr>
        <w:pStyle w:val="Bibliography"/>
      </w:pPr>
      <w:bookmarkStart w:id="40" w:name="ref-Hirsch10"/>
      <w:bookmarkEnd w:id="39"/>
      <w:r>
        <w:t>Hirsch, R.M., Moyer, D.L., Archfield, S.A., 2010. Weighted regressions on time, discharge, and season (WRTDS), with an application to Chesapeake Bay river inputs. Journal of the American Water Resources Association 46, 857–880.</w:t>
      </w:r>
    </w:p>
    <w:p w14:paraId="5997583B" w14:textId="77777777" w:rsidR="007E4248" w:rsidRDefault="006466B0">
      <w:pPr>
        <w:pStyle w:val="Bibliography"/>
      </w:pPr>
      <w:bookmarkStart w:id="41" w:name="ref-Hirsch82"/>
      <w:bookmarkEnd w:id="40"/>
      <w:r>
        <w:t>Hirsch, R.M., Slack, J.R., Smith, R.A., 1982. Techniques of trend analysis for monthly water quality data. Water Resources Research 18, 107–121.</w:t>
      </w:r>
    </w:p>
    <w:p w14:paraId="1E20BDF5" w14:textId="77777777" w:rsidR="007E4248" w:rsidRDefault="006466B0">
      <w:pPr>
        <w:pStyle w:val="Bibliography"/>
      </w:pPr>
      <w:bookmarkStart w:id="42" w:name="ref-Jassby08"/>
      <w:bookmarkEnd w:id="41"/>
      <w:r>
        <w:lastRenderedPageBreak/>
        <w:t>Jassby, A.D., 2008. Phytoplankton in the Upper San Francisco Estuary: Recent biomass trends, their causes, and their trophic significance. San Francisco Estuary and Watershed Science 6, 1–24.</w:t>
      </w:r>
    </w:p>
    <w:p w14:paraId="69241068" w14:textId="77777777" w:rsidR="007E4248" w:rsidRDefault="006466B0">
      <w:pPr>
        <w:pStyle w:val="Bibliography"/>
      </w:pPr>
      <w:bookmarkStart w:id="43" w:name="ref-Jassby02"/>
      <w:bookmarkEnd w:id="42"/>
      <w:r>
        <w:t>Jassby, A.D., Cloern, J.E., Cole, B.E., 2002. Annual primary production: Patterns and mechanisms of change in a nutrient-rich tidal ecosystem. Limnology and Oceanography 47, 698–712.</w:t>
      </w:r>
    </w:p>
    <w:p w14:paraId="27964CA9" w14:textId="77777777" w:rsidR="007E4248" w:rsidRDefault="006466B0">
      <w:pPr>
        <w:pStyle w:val="Bibliography"/>
      </w:pPr>
      <w:bookmarkStart w:id="44" w:name="ref-Junninen04"/>
      <w:bookmarkEnd w:id="43"/>
      <w:r>
        <w:t xml:space="preserve">Junninen, H., Niska, H., Tuppurainen, K., Ruuskanen, J., Kolehmainen, M., 2004. Methods for imputation of missing values in air quality data sets. Atmospheric Environment 38, 2895–2907. </w:t>
      </w:r>
      <w:hyperlink r:id="rId33">
        <w:r>
          <w:rPr>
            <w:rStyle w:val="Hyperlink"/>
          </w:rPr>
          <w:t>https://doi.org/10.1016/j.atmosenv.2004.02.026</w:t>
        </w:r>
      </w:hyperlink>
    </w:p>
    <w:p w14:paraId="4C07B1EE" w14:textId="77777777" w:rsidR="007E4248" w:rsidRDefault="006466B0">
      <w:pPr>
        <w:pStyle w:val="Bibliography"/>
      </w:pPr>
      <w:bookmarkStart w:id="45" w:name="ref-Kimmerer14"/>
      <w:bookmarkEnd w:id="44"/>
      <w:r>
        <w:t>Kimmerer, W.J., Thompson, J.K., 2014. Phytoplankton growth balanced by clam and zooplankton grazing and net transport into the low-salinity zone of the San Francisco Estuary. Estuaries and Coasts 37, 1202–1218.</w:t>
      </w:r>
    </w:p>
    <w:p w14:paraId="5E41DCB0" w14:textId="77777777" w:rsidR="007E4248" w:rsidRDefault="006466B0">
      <w:pPr>
        <w:pStyle w:val="Bibliography"/>
      </w:pPr>
      <w:bookmarkStart w:id="46" w:name="ref-Lefcheck17"/>
      <w:bookmarkEnd w:id="45"/>
      <w:r>
        <w:t>Lefcheck, J.S., Wilcox, D.J., Murphy, R.R., Marion, S.R., Orth, R.J., 2017. Multiple stressors threaten the imperiled coastal foundation species eelgrass (</w:t>
      </w:r>
      <w:r>
        <w:rPr>
          <w:i/>
          <w:iCs/>
        </w:rPr>
        <w:t>zostera marina</w:t>
      </w:r>
      <w:r>
        <w:t xml:space="preserve">) in Chesapeake Bay, USA. Global Change Biology 23, 3474–3483. </w:t>
      </w:r>
      <w:hyperlink r:id="rId34">
        <w:r>
          <w:rPr>
            <w:rStyle w:val="Hyperlink"/>
          </w:rPr>
          <w:t>https://doi.org/10.1111/gcb.13623</w:t>
        </w:r>
      </w:hyperlink>
    </w:p>
    <w:p w14:paraId="1FBC34FD" w14:textId="77777777" w:rsidR="007E4248" w:rsidRDefault="006466B0">
      <w:pPr>
        <w:pStyle w:val="Bibliography"/>
      </w:pPr>
      <w:bookmarkStart w:id="47" w:name="ref-Lehman17"/>
      <w:bookmarkEnd w:id="46"/>
      <w:r>
        <w:t xml:space="preserve">Lehman, P.W., Kurobe, T., Lesmeister, S., Baxa, D., Tung, A., Teh, S.J., 2017. Impacts of the 2014 severe drought on the Microcystis bloom in San Francisco Estuary. Harmful Algae 63, 94–108. </w:t>
      </w:r>
      <w:hyperlink r:id="rId35">
        <w:r>
          <w:rPr>
            <w:rStyle w:val="Hyperlink"/>
          </w:rPr>
          <w:t>https://doi.org/10.1016/j.hal.2017.01.011</w:t>
        </w:r>
      </w:hyperlink>
    </w:p>
    <w:p w14:paraId="12499AB7" w14:textId="77777777" w:rsidR="007E4248" w:rsidRDefault="006466B0">
      <w:pPr>
        <w:pStyle w:val="Bibliography"/>
      </w:pPr>
      <w:bookmarkStart w:id="48" w:name="ref-Lortie14"/>
      <w:bookmarkEnd w:id="47"/>
      <w:r>
        <w:t xml:space="preserve">Lortie, C.J., 2014. Formalized synthesis opportunities for ecology: Systematic reviews and meta-analyses. OIKOS 123, 897–902. </w:t>
      </w:r>
      <w:hyperlink r:id="rId36">
        <w:r>
          <w:rPr>
            <w:rStyle w:val="Hyperlink"/>
          </w:rPr>
          <w:t>https://doi.org/10.1111/j.1600-0706.2013.00970.x</w:t>
        </w:r>
      </w:hyperlink>
    </w:p>
    <w:p w14:paraId="2CC118ED" w14:textId="77777777" w:rsidR="007E4248" w:rsidRDefault="006466B0">
      <w:pPr>
        <w:pStyle w:val="Bibliography"/>
      </w:pPr>
      <w:bookmarkStart w:id="49" w:name="ref-Morton08"/>
      <w:bookmarkEnd w:id="48"/>
      <w:r>
        <w:t xml:space="preserve">Morton, R., Henderson, B.L., 2008. Estimation of nonlinear trends in water quality: An improved approach using generalized additive models. Water Resources Research 44, W07420. </w:t>
      </w:r>
      <w:hyperlink r:id="rId37">
        <w:r>
          <w:rPr>
            <w:rStyle w:val="Hyperlink"/>
          </w:rPr>
          <w:t>https://doi.org/10.1029/2007WR006191</w:t>
        </w:r>
      </w:hyperlink>
    </w:p>
    <w:p w14:paraId="06E609A7" w14:textId="77777777" w:rsidR="007E4248" w:rsidRDefault="006466B0">
      <w:pPr>
        <w:pStyle w:val="Bibliography"/>
      </w:pPr>
      <w:bookmarkStart w:id="50" w:name="ref-Murphy19"/>
      <w:bookmarkEnd w:id="49"/>
      <w:r>
        <w:t xml:space="preserve">Murphy, R.R., Perry, E., Harcum, J., Keisman, J., 2019. A Generalized Additive Model Approach to evaluating water quality: Chesapeake Bay case study. Environmental Modelling &amp; Software 118, 1–13. </w:t>
      </w:r>
      <w:hyperlink r:id="rId38">
        <w:r>
          <w:rPr>
            <w:rStyle w:val="Hyperlink"/>
          </w:rPr>
          <w:t>https://doi.org/10.1016/j.envsoft.2019.03.027</w:t>
        </w:r>
      </w:hyperlink>
    </w:p>
    <w:p w14:paraId="420CFF12" w14:textId="77777777" w:rsidR="007E4248" w:rsidRDefault="006466B0">
      <w:pPr>
        <w:pStyle w:val="Bibliography"/>
      </w:pPr>
      <w:bookmarkStart w:id="51" w:name="ref-Navarro12"/>
      <w:bookmarkEnd w:id="50"/>
      <w:r>
        <w:t>Navarro, G., Caballero, I., Prieto, L., Vázquez, A., Flecha, S., Huertas, I.E., Ruiz, J., 2012. Seasonal-to-interannual variability of chlorophyll-</w:t>
      </w:r>
      <w:r>
        <w:rPr>
          <w:i/>
          <w:iCs/>
        </w:rPr>
        <w:t>a</w:t>
      </w:r>
      <w:r>
        <w:t xml:space="preserve"> bloom timing associated with physical forcing in the Gulf of Cádiz. Advances in Space Research 50, 1164–1172. </w:t>
      </w:r>
      <w:hyperlink r:id="rId39">
        <w:r>
          <w:rPr>
            <w:rStyle w:val="Hyperlink"/>
          </w:rPr>
          <w:t>https://doi.org/10.1016/j.asr.2011.11.034</w:t>
        </w:r>
      </w:hyperlink>
    </w:p>
    <w:p w14:paraId="07A2203F" w14:textId="77777777" w:rsidR="007E4248" w:rsidRDefault="006466B0">
      <w:pPr>
        <w:pStyle w:val="Bibliography"/>
      </w:pPr>
      <w:bookmarkStart w:id="52" w:name="ref-Novick14"/>
      <w:bookmarkEnd w:id="51"/>
      <w:r>
        <w:t>Novick, E., Senn, D., 2014. External nutrient loads to San Francisco Bay (No. Contribution Number 704). San Francisco Estuary Institute, Richmond, CA.</w:t>
      </w:r>
    </w:p>
    <w:p w14:paraId="71BBC808" w14:textId="77777777" w:rsidR="007E4248" w:rsidRDefault="006466B0">
      <w:pPr>
        <w:pStyle w:val="Bibliography"/>
      </w:pPr>
      <w:bookmarkStart w:id="53" w:name="ref-Pearce11"/>
      <w:bookmarkEnd w:id="52"/>
      <w:r>
        <w:t xml:space="preserve">Pearce, J.L., Beringer, J., Nicholls, N., Hyndman, R.J., Tapper, N.J., 2011. Quantifying the influence of local meteorology on air quality using generalized additive models. Atmospheric Environment 45, 1328–1336. </w:t>
      </w:r>
      <w:hyperlink r:id="rId40">
        <w:r>
          <w:rPr>
            <w:rStyle w:val="Hyperlink"/>
          </w:rPr>
          <w:t>https://doi.org/10.1016/j.atmosenv.2010.11.051</w:t>
        </w:r>
      </w:hyperlink>
    </w:p>
    <w:p w14:paraId="4BF5CF1F" w14:textId="77777777" w:rsidR="007E4248" w:rsidRDefault="006466B0">
      <w:pPr>
        <w:pStyle w:val="Bibliography"/>
      </w:pPr>
      <w:bookmarkStart w:id="54" w:name="ref-RCT20"/>
      <w:bookmarkEnd w:id="53"/>
      <w:r>
        <w:t>R Core Team, 2020. R: A language and environment for statistical computing. R Foundation for Statistical Computing, R v4.0.2, Vienna, Austria.</w:t>
      </w:r>
    </w:p>
    <w:p w14:paraId="3017A79D" w14:textId="77777777" w:rsidR="007E4248" w:rsidRDefault="006466B0">
      <w:pPr>
        <w:pStyle w:val="Bibliography"/>
      </w:pPr>
      <w:bookmarkStart w:id="55" w:name="ref-Racault14"/>
      <w:bookmarkEnd w:id="54"/>
      <w:r>
        <w:lastRenderedPageBreak/>
        <w:t xml:space="preserve">Racault, M.F., Sathyendranath, S., Platt, T., 2014. Impact of missing data on the estimation of ecological indicators from satellite ocean-colour time series. Remote Sensing of Environment 152, 15–28. </w:t>
      </w:r>
      <w:hyperlink r:id="rId41">
        <w:r>
          <w:rPr>
            <w:rStyle w:val="Hyperlink"/>
          </w:rPr>
          <w:t>https://doi.org/10.1016/j.rse.2014.05.016</w:t>
        </w:r>
      </w:hyperlink>
    </w:p>
    <w:p w14:paraId="1685F33A" w14:textId="77777777" w:rsidR="007E4248" w:rsidRDefault="006466B0">
      <w:pPr>
        <w:pStyle w:val="Bibliography"/>
      </w:pPr>
      <w:bookmarkStart w:id="56" w:name="ref-Schraga20"/>
      <w:bookmarkEnd w:id="55"/>
      <w:r>
        <w:t>Schraga, T.S., Nejad, E.S., Martin, C.A., Cloern, J.E., 2020. USGS measurements of water quality in San Francisco (CA), beginning in 2016 (ver. 3.0, March 2020): U.S. Geological Survey data release. https://doi.org/10.5066/F7D21WGF.</w:t>
      </w:r>
    </w:p>
    <w:p w14:paraId="2BD0AC99" w14:textId="77777777" w:rsidR="007E4248" w:rsidRDefault="006466B0">
      <w:pPr>
        <w:pStyle w:val="Bibliography"/>
      </w:pPr>
      <w:bookmarkStart w:id="57" w:name="ref-Sera19"/>
      <w:bookmarkEnd w:id="56"/>
      <w:r>
        <w:t xml:space="preserve">Sera, F., Armstrong, B., Blangiardo, M., Gasparrini, A., 2019. An extended mixed-effects framework for meta-analysis. Statistics in Medicine 38, 5429–5444. </w:t>
      </w:r>
      <w:hyperlink r:id="rId42">
        <w:r>
          <w:rPr>
            <w:rStyle w:val="Hyperlink"/>
          </w:rPr>
          <w:t>https://doi.org/10.1002/sim.8362</w:t>
        </w:r>
      </w:hyperlink>
    </w:p>
    <w:p w14:paraId="7F7A29B8" w14:textId="77777777" w:rsidR="007E4248" w:rsidRDefault="006466B0">
      <w:pPr>
        <w:pStyle w:val="Bibliography"/>
      </w:pPr>
      <w:bookmarkStart w:id="58" w:name="ref-Shabman03"/>
      <w:bookmarkEnd w:id="57"/>
      <w:r>
        <w:t xml:space="preserve">Shabman, L., Smith, E., 2003. Implications of applying statistically based procedures for water quality assessment. Journal of Water Resources Planning and Management 129, 330–336. </w:t>
      </w:r>
      <w:hyperlink r:id="rId43">
        <w:r>
          <w:rPr>
            <w:rStyle w:val="Hyperlink"/>
          </w:rPr>
          <w:t>https://doi.org/10.1061/(ASCE)0733-9496(2003)129:4(330)</w:t>
        </w:r>
      </w:hyperlink>
    </w:p>
    <w:p w14:paraId="0C9F6445" w14:textId="77777777" w:rsidR="007E4248" w:rsidRDefault="006466B0">
      <w:pPr>
        <w:pStyle w:val="Bibliography"/>
      </w:pPr>
      <w:bookmarkStart w:id="59" w:name="ref-Smith01"/>
      <w:bookmarkEnd w:id="58"/>
      <w:r>
        <w:t xml:space="preserve">Smith, E.P., Ye, K., Hughes, C., Shabman, L., 2001. Statistical assessment of violations of water quality standards under section 303 (d) of the Clean Water Act. Environmental science &amp; technology 35, 606–612. </w:t>
      </w:r>
      <w:hyperlink r:id="rId44">
        <w:r>
          <w:rPr>
            <w:rStyle w:val="Hyperlink"/>
          </w:rPr>
          <w:t>https://doi.org/10.1021/es001159e</w:t>
        </w:r>
      </w:hyperlink>
    </w:p>
    <w:p w14:paraId="59D6583F" w14:textId="77777777" w:rsidR="007E4248" w:rsidRDefault="006466B0">
      <w:pPr>
        <w:pStyle w:val="Bibliography"/>
      </w:pPr>
      <w:bookmarkStart w:id="60" w:name="ref-Stow15"/>
      <w:bookmarkEnd w:id="59"/>
      <w:r>
        <w:t xml:space="preserve">Stow, C.A., Cha, Y., Johnson, L.T., Confesor, R., Richards, R.P., 2015. Long-term and seasonal trend decomposition of Maumee River nutrient inputs to western Lake Erie. Environmental Science and Technology 49, 3392–3400. </w:t>
      </w:r>
      <w:hyperlink r:id="rId45">
        <w:r>
          <w:rPr>
            <w:rStyle w:val="Hyperlink"/>
          </w:rPr>
          <w:t>https://doi.org/10.1021/es5062648</w:t>
        </w:r>
      </w:hyperlink>
    </w:p>
    <w:p w14:paraId="0F045709" w14:textId="77777777" w:rsidR="007E4248" w:rsidRDefault="006466B0">
      <w:pPr>
        <w:pStyle w:val="Bibliography"/>
      </w:pPr>
      <w:bookmarkStart w:id="61" w:name="ref-Urquhart98"/>
      <w:bookmarkEnd w:id="60"/>
      <w:r>
        <w:t xml:space="preserve">Urquhart, N.S., Paulsen, S.G., Larsen, D.P., 1998. Monitoring for policy-relevant regional trends over time. Ecological Applications 8, 246–257. </w:t>
      </w:r>
      <w:hyperlink r:id="rId46">
        <w:r>
          <w:rPr>
            <w:rStyle w:val="Hyperlink"/>
          </w:rPr>
          <w:t>https://doi.org/10.1890/1051-0761(1998)008[0246:MFPRRO]2.0.CO;2</w:t>
        </w:r>
      </w:hyperlink>
    </w:p>
    <w:p w14:paraId="348BA832" w14:textId="77777777" w:rsidR="007E4248" w:rsidRDefault="006466B0">
      <w:pPr>
        <w:pStyle w:val="Bibliography"/>
      </w:pPr>
      <w:bookmarkStart w:id="62" w:name="ref-Wan17"/>
      <w:bookmarkEnd w:id="61"/>
      <w:r>
        <w:t>Wan, Y., Wan, L., Li, Y., Doering, P., 2017. Decadal and seasonal trends of nutrient concentration and export from highly managed coastal catchments. Water Research 115, 180–194.</w:t>
      </w:r>
    </w:p>
    <w:p w14:paraId="6CC05B48" w14:textId="77777777" w:rsidR="007E4248" w:rsidRDefault="006466B0">
      <w:pPr>
        <w:pStyle w:val="Bibliography"/>
      </w:pPr>
      <w:bookmarkStart w:id="63" w:name="ref-Wood17"/>
      <w:bookmarkEnd w:id="62"/>
      <w:r>
        <w:t>Wood, S.N., 2017. Generalized additive models: An introduction with r, 2nd ed. Chapman; Hall, CRC Press, London, United Kingdom.</w:t>
      </w:r>
    </w:p>
    <w:p w14:paraId="2A7AC02F" w14:textId="77777777" w:rsidR="007E4248" w:rsidRDefault="006466B0">
      <w:pPr>
        <w:pStyle w:val="Bibliography"/>
      </w:pPr>
      <w:bookmarkStart w:id="64" w:name="ref-Wood04"/>
      <w:bookmarkEnd w:id="63"/>
      <w:r>
        <w:t xml:space="preserve">Wood, S.N., 2004. Stable and efficient multiple smoothing parameter estimation for generalized additive models. Journal of the American Statistical Association 99, 673–686. </w:t>
      </w:r>
      <w:hyperlink r:id="rId47">
        <w:r>
          <w:rPr>
            <w:rStyle w:val="Hyperlink"/>
          </w:rPr>
          <w:t>https://doi.org/10.1198/016214504000000980</w:t>
        </w:r>
      </w:hyperlink>
    </w:p>
    <w:p w14:paraId="422B9B9F" w14:textId="77777777" w:rsidR="007E4248" w:rsidRDefault="006466B0">
      <w:pPr>
        <w:pStyle w:val="Bibliography"/>
      </w:pPr>
      <w:bookmarkStart w:id="65" w:name="ref-Wood03"/>
      <w:bookmarkEnd w:id="64"/>
      <w:r>
        <w:t xml:space="preserve">Wood, S.N., 2003. Thin-plate regression splines. Journal of the Royal Statistical Society (B) 65, 95–114. </w:t>
      </w:r>
      <w:hyperlink r:id="rId48">
        <w:r>
          <w:rPr>
            <w:rStyle w:val="Hyperlink"/>
          </w:rPr>
          <w:t>https://doi.org/10.1111/1467-9868.00374</w:t>
        </w:r>
      </w:hyperlink>
    </w:p>
    <w:p w14:paraId="1DFE06B8" w14:textId="77777777" w:rsidR="007E4248" w:rsidRDefault="006466B0">
      <w:pPr>
        <w:pStyle w:val="Bibliography"/>
      </w:pPr>
      <w:bookmarkStart w:id="66" w:name="ref-Wood02"/>
      <w:bookmarkEnd w:id="65"/>
      <w:r>
        <w:t xml:space="preserve">Wood, S.N., Augustin, N.H., 2002. GAMs with integrated model selection using penalized regression splines and applications to environmental modelling. Ecological Modelling 157, 157–177. </w:t>
      </w:r>
      <w:hyperlink r:id="rId49">
        <w:r>
          <w:rPr>
            <w:rStyle w:val="Hyperlink"/>
          </w:rPr>
          <w:t>https://doi.org/10.1016/S0304-3800(02)00193-X</w:t>
        </w:r>
      </w:hyperlink>
    </w:p>
    <w:p w14:paraId="35548029" w14:textId="77777777" w:rsidR="007E4248" w:rsidRDefault="006466B0">
      <w:pPr>
        <w:pStyle w:val="Bibliography"/>
      </w:pPr>
      <w:bookmarkStart w:id="67" w:name="ref-Yang20"/>
      <w:bookmarkEnd w:id="66"/>
      <w:r>
        <w:t>Yang, G., Moyer, D.L., 2020. Estimation of nonlinear water-quality trends in high-frequency monitoring data. Science of The Total Environment 715, 10.1016/j.scitotenv.2020.136686.</w:t>
      </w:r>
    </w:p>
    <w:p w14:paraId="05C56B08" w14:textId="77777777" w:rsidR="007E4248" w:rsidRDefault="006466B0">
      <w:pPr>
        <w:pStyle w:val="Bibliography"/>
      </w:pPr>
      <w:bookmarkStart w:id="68" w:name="ref-Zuur09"/>
      <w:bookmarkEnd w:id="67"/>
      <w:r>
        <w:lastRenderedPageBreak/>
        <w:t>Zuur, A.F., Ieno, E.N., Walker, N.J., Saveliev, A.A., Smith, G.M., 2009. Mixed effects models and extensions in ecology with r. Springer-Verlag, New York, New York.</w:t>
      </w:r>
      <w:bookmarkEnd w:id="18"/>
      <w:bookmarkEnd w:id="20"/>
      <w:bookmarkEnd w:id="68"/>
    </w:p>
    <w:sectPr w:rsidR="007E4248" w:rsidSect="003C73CD">
      <w:footerReference w:type="default" r:id="rId50"/>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DB34A" w14:textId="77777777" w:rsidR="00B25696" w:rsidRDefault="00B25696">
      <w:pPr>
        <w:spacing w:after="0"/>
      </w:pPr>
      <w:r>
        <w:separator/>
      </w:r>
    </w:p>
  </w:endnote>
  <w:endnote w:type="continuationSeparator" w:id="0">
    <w:p w14:paraId="27B9A031" w14:textId="77777777" w:rsidR="00B25696" w:rsidRDefault="00B256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8962650"/>
      <w:docPartObj>
        <w:docPartGallery w:val="Page Numbers (Bottom of Page)"/>
        <w:docPartUnique/>
      </w:docPartObj>
    </w:sdtPr>
    <w:sdtEndPr>
      <w:rPr>
        <w:noProof/>
      </w:rPr>
    </w:sdtEndPr>
    <w:sdtContent>
      <w:p w14:paraId="741E02C2" w14:textId="09757D57" w:rsidR="003C73CD" w:rsidRDefault="006466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B256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9A8DE" w14:textId="77777777" w:rsidR="00B25696" w:rsidRDefault="00B25696">
      <w:r>
        <w:separator/>
      </w:r>
    </w:p>
  </w:footnote>
  <w:footnote w:type="continuationSeparator" w:id="0">
    <w:p w14:paraId="67CB5F6D" w14:textId="77777777" w:rsidR="00B25696" w:rsidRDefault="00B256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1AE401"/>
    <w:multiLevelType w:val="multilevel"/>
    <w:tmpl w:val="30CC6C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640711"/>
    <w:rsid w:val="006466B0"/>
    <w:rsid w:val="00784D58"/>
    <w:rsid w:val="007E4248"/>
    <w:rsid w:val="008B08D2"/>
    <w:rsid w:val="008D6863"/>
    <w:rsid w:val="00B2569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038D4"/>
  <w15:docId w15:val="{A19F1C5A-9EFA-48AF-9794-80BAA9263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avids@sfei.org" TargetMode="External"/><Relationship Id="rId18" Type="http://schemas.openxmlformats.org/officeDocument/2006/relationships/image" Target="media/image3.png"/><Relationship Id="rId26" Type="http://schemas.openxmlformats.org/officeDocument/2006/relationships/hyperlink" Target="https://doi.org/10.1111/1752-1688.12489" TargetMode="External"/><Relationship Id="rId39" Type="http://schemas.openxmlformats.org/officeDocument/2006/relationships/hyperlink" Target="https://doi.org/10.1016/j.asr.2011.11.034" TargetMode="External"/><Relationship Id="rId21" Type="http://schemas.openxmlformats.org/officeDocument/2006/relationships/image" Target="media/image6.png"/><Relationship Id="rId34" Type="http://schemas.openxmlformats.org/officeDocument/2006/relationships/hyperlink" Target="https://doi.org/10.1111/gcb.13623" TargetMode="External"/><Relationship Id="rId42" Type="http://schemas.openxmlformats.org/officeDocument/2006/relationships/hyperlink" Target="https://doi.org/10.1002/sim.8362" TargetMode="External"/><Relationship Id="rId47" Type="http://schemas.openxmlformats.org/officeDocument/2006/relationships/hyperlink" Target="https://doi.org/10.1198/016214504000000980" TargetMode="External"/><Relationship Id="rId50" Type="http://schemas.openxmlformats.org/officeDocument/2006/relationships/footer" Target="footer1.xml"/><Relationship Id="rId7" Type="http://schemas.openxmlformats.org/officeDocument/2006/relationships/hyperlink" Target="mailto:mbeck@tbep.org" TargetMode="External"/><Relationship Id="rId2" Type="http://schemas.openxmlformats.org/officeDocument/2006/relationships/styles" Target="styles.xml"/><Relationship Id="rId16" Type="http://schemas.openxmlformats.org/officeDocument/2006/relationships/image" Target="media/image1.png"/><Relationship Id="rId29" Type="http://schemas.openxmlformats.org/officeDocument/2006/relationships/hyperlink" Target="https://doi.org/10.1016/j.ecocom.2018.07.005" TargetMode="External"/><Relationship Id="rId11" Type="http://schemas.openxmlformats.org/officeDocument/2006/relationships/hyperlink" Target="mailto:ariellac@sfei.org" TargetMode="External"/><Relationship Id="rId24" Type="http://schemas.openxmlformats.org/officeDocument/2006/relationships/hyperlink" Target="https://doi.org/10.1007/s10666-015-9452-8" TargetMode="External"/><Relationship Id="rId32" Type="http://schemas.openxmlformats.org/officeDocument/2006/relationships/hyperlink" Target="https://doi.org/10.1016/j.envsoft.2015.07.017" TargetMode="External"/><Relationship Id="rId37" Type="http://schemas.openxmlformats.org/officeDocument/2006/relationships/hyperlink" Target="https://doi.org/10.1029/2007WR006191" TargetMode="External"/><Relationship Id="rId40" Type="http://schemas.openxmlformats.org/officeDocument/2006/relationships/hyperlink" Target="https://doi.org/10.1016/j.atmosenv.2010.11.051" TargetMode="External"/><Relationship Id="rId45" Type="http://schemas.openxmlformats.org/officeDocument/2006/relationships/hyperlink" Target="https://doi.org/10.1021/es5062648" TargetMode="External"/><Relationship Id="rId5" Type="http://schemas.openxmlformats.org/officeDocument/2006/relationships/footnotes" Target="footnotes.xml"/><Relationship Id="rId15" Type="http://schemas.openxmlformats.org/officeDocument/2006/relationships/hyperlink" Target="https://nutrient-data.sfei.org/apps/SFbaytrends/" TargetMode="External"/><Relationship Id="rId23" Type="http://schemas.openxmlformats.org/officeDocument/2006/relationships/image" Target="media/image8.png"/><Relationship Id="rId28" Type="http://schemas.openxmlformats.org/officeDocument/2006/relationships/hyperlink" Target="https://doi.org/10.1007/s12237-020-00737-w" TargetMode="External"/><Relationship Id="rId36" Type="http://schemas.openxmlformats.org/officeDocument/2006/relationships/hyperlink" Target="https://doi.org/10.1111/j.1600-0706.2013.00970.x" TargetMode="External"/><Relationship Id="rId49" Type="http://schemas.openxmlformats.org/officeDocument/2006/relationships/hyperlink" Target="https://doi.org/10.1016/S0304-3800(02)00193-X" TargetMode="External"/><Relationship Id="rId10" Type="http://schemas.openxmlformats.org/officeDocument/2006/relationships/hyperlink" Target="mailto:ianw@sfei.org" TargetMode="External"/><Relationship Id="rId19" Type="http://schemas.openxmlformats.org/officeDocument/2006/relationships/image" Target="media/image4.png"/><Relationship Id="rId31" Type="http://schemas.openxmlformats.org/officeDocument/2006/relationships/hyperlink" Target="https://doi.org/10.1002/env.751" TargetMode="External"/><Relationship Id="rId44" Type="http://schemas.openxmlformats.org/officeDocument/2006/relationships/hyperlink" Target="https://doi.org/10.1021/es001159e"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rmurphy@chesapeakebay.net" TargetMode="External"/><Relationship Id="rId14" Type="http://schemas.openxmlformats.org/officeDocument/2006/relationships/hyperlink" Target="https://tbep-tech.github.io/wqtrends" TargetMode="External"/><Relationship Id="rId22" Type="http://schemas.openxmlformats.org/officeDocument/2006/relationships/image" Target="media/image7.png"/><Relationship Id="rId27" Type="http://schemas.openxmlformats.org/officeDocument/2006/relationships/hyperlink" Target="https://doi.org/10.1029/2012RG000397" TargetMode="External"/><Relationship Id="rId30" Type="http://schemas.openxmlformats.org/officeDocument/2006/relationships/hyperlink" Target="https://doi.org/10.1002/sim.5471" TargetMode="External"/><Relationship Id="rId35" Type="http://schemas.openxmlformats.org/officeDocument/2006/relationships/hyperlink" Target="https://doi.org/10.1016/j.hal.2017.01.011" TargetMode="External"/><Relationship Id="rId43" Type="http://schemas.openxmlformats.org/officeDocument/2006/relationships/hyperlink" Target="https://doi.org/10.1061/(ASCE)0733-9496(2003)129:4(330)" TargetMode="External"/><Relationship Id="rId48" Type="http://schemas.openxmlformats.org/officeDocument/2006/relationships/hyperlink" Target="https://doi.org/10.1111/1467-9868.00374" TargetMode="External"/><Relationship Id="rId8" Type="http://schemas.openxmlformats.org/officeDocument/2006/relationships/hyperlink" Target="mailto:pdevalpine@berkeley.edu"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mailto:melissaf@sfei.org" TargetMode="External"/><Relationship Id="rId17" Type="http://schemas.openxmlformats.org/officeDocument/2006/relationships/image" Target="media/image2.png"/><Relationship Id="rId25" Type="http://schemas.openxmlformats.org/officeDocument/2006/relationships/hyperlink" Target="https://doi.org/10.1016/j.ecss.2018.06.021" TargetMode="External"/><Relationship Id="rId33" Type="http://schemas.openxmlformats.org/officeDocument/2006/relationships/hyperlink" Target="https://doi.org/10.1016/j.atmosenv.2004.02.026" TargetMode="External"/><Relationship Id="rId38" Type="http://schemas.openxmlformats.org/officeDocument/2006/relationships/hyperlink" Target="https://doi.org/10.1016/j.envsoft.2019.03.027" TargetMode="External"/><Relationship Id="rId46" Type="http://schemas.openxmlformats.org/officeDocument/2006/relationships/hyperlink" Target="https://doi.org/10.1890/1051-0761(1998)008%5b0246:MFPRRO%5d2.0.CO;2" TargetMode="External"/><Relationship Id="rId20" Type="http://schemas.openxmlformats.org/officeDocument/2006/relationships/image" Target="media/image5.png"/><Relationship Id="rId41" Type="http://schemas.openxmlformats.org/officeDocument/2006/relationships/hyperlink" Target="https://doi.org/10.1016/j.rse.2014.05.016"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27</Pages>
  <Words>10400</Words>
  <Characters>59282</Characters>
  <Application>Microsoft Office Word</Application>
  <DocSecurity>0</DocSecurity>
  <Lines>494</Lines>
  <Paragraphs>139</Paragraphs>
  <ScaleCrop>false</ScaleCrop>
  <Company/>
  <LinksUpToDate>false</LinksUpToDate>
  <CharactersWithSpaces>69543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cp:lastModifiedBy>Marcus Beck</cp:lastModifiedBy>
  <cp:revision>3</cp:revision>
  <dcterms:created xsi:type="dcterms:W3CDTF">2021-07-12T16:38:00Z</dcterms:created>
  <dcterms:modified xsi:type="dcterms:W3CDTF">2021-07-12T17:11:00Z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